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FB" w:rsidRDefault="0002076B" w:rsidP="006C5D83"/>
    <w:p w:rsidR="006C5D83" w:rsidRPr="006C5D83" w:rsidRDefault="006C5D83" w:rsidP="006C5D83">
      <w:pPr>
        <w:autoSpaceDE w:val="0"/>
        <w:autoSpaceDN w:val="0"/>
        <w:adjustRightInd w:val="0"/>
        <w:rPr>
          <w:rFonts w:ascii="ArialBlack" w:hAnsi="ArialBlack" w:cs="ArialBlack"/>
          <w:b/>
          <w:szCs w:val="22"/>
          <w:lang w:eastAsia="de-CH"/>
        </w:rPr>
      </w:pPr>
      <w:r w:rsidRPr="006C5D83">
        <w:rPr>
          <w:rFonts w:ascii="ArialBlack" w:hAnsi="ArialBlack" w:cs="ArialBlack"/>
          <w:b/>
          <w:szCs w:val="22"/>
          <w:lang w:eastAsia="de-CH"/>
        </w:rPr>
        <w:t>Merkblatt Studierende aus Staaten der EU-27 / EFTA betreffend</w:t>
      </w:r>
    </w:p>
    <w:p w:rsidR="006C5D83" w:rsidRDefault="006C5D83" w:rsidP="006C5D83">
      <w:pPr>
        <w:autoSpaceDE w:val="0"/>
        <w:autoSpaceDN w:val="0"/>
        <w:adjustRightInd w:val="0"/>
        <w:rPr>
          <w:rFonts w:ascii="ArialBlack" w:hAnsi="ArialBlack" w:cs="ArialBlack"/>
          <w:b/>
          <w:szCs w:val="22"/>
          <w:lang w:eastAsia="de-CH"/>
        </w:rPr>
      </w:pPr>
      <w:r w:rsidRPr="006C5D83">
        <w:rPr>
          <w:rFonts w:ascii="ArialBlack" w:hAnsi="ArialBlack" w:cs="ArialBlack"/>
          <w:b/>
          <w:szCs w:val="22"/>
          <w:lang w:eastAsia="de-CH"/>
        </w:rPr>
        <w:t>Erwerbsmöglichkeit während dem Studium</w:t>
      </w:r>
    </w:p>
    <w:p w:rsidR="006C5D83" w:rsidRDefault="006C5D83" w:rsidP="006C5D83">
      <w:pPr>
        <w:autoSpaceDE w:val="0"/>
        <w:autoSpaceDN w:val="0"/>
        <w:adjustRightInd w:val="0"/>
        <w:rPr>
          <w:rFonts w:ascii="ArialBlack" w:hAnsi="ArialBlack" w:cs="ArialBlack"/>
          <w:b/>
          <w:szCs w:val="22"/>
          <w:lang w:eastAsia="de-CH"/>
        </w:rPr>
      </w:pPr>
    </w:p>
    <w:p w:rsidR="006C5D83" w:rsidRPr="006C5D83" w:rsidRDefault="006C5D83" w:rsidP="006C5D83">
      <w:pPr>
        <w:autoSpaceDE w:val="0"/>
        <w:autoSpaceDN w:val="0"/>
        <w:adjustRightInd w:val="0"/>
        <w:rPr>
          <w:rFonts w:ascii="ArialBlack" w:hAnsi="ArialBlack" w:cs="ArialBlack"/>
          <w:b/>
          <w:szCs w:val="22"/>
          <w:lang w:eastAsia="de-CH"/>
        </w:rPr>
      </w:pPr>
    </w:p>
    <w:p w:rsidR="006C5D83" w:rsidRPr="006C5D83" w:rsidRDefault="006C5D83" w:rsidP="006C5D83">
      <w:pPr>
        <w:autoSpaceDE w:val="0"/>
        <w:autoSpaceDN w:val="0"/>
        <w:adjustRightInd w:val="0"/>
        <w:rPr>
          <w:rFonts w:cs="Arial"/>
          <w:szCs w:val="22"/>
          <w:lang w:eastAsia="de-CH"/>
        </w:rPr>
      </w:pPr>
      <w:r w:rsidRPr="006C5D83">
        <w:rPr>
          <w:rFonts w:cs="Arial"/>
          <w:szCs w:val="22"/>
          <w:lang w:eastAsia="de-CH"/>
        </w:rPr>
        <w:t>Sie sind Staatsangerhörige/-er eines EU-27/EFTA Staates und befinden sich zu</w:t>
      </w:r>
    </w:p>
    <w:p w:rsidR="006C5D83" w:rsidRDefault="006C5D83" w:rsidP="006C5D83">
      <w:pPr>
        <w:autoSpaceDE w:val="0"/>
        <w:autoSpaceDN w:val="0"/>
        <w:adjustRightInd w:val="0"/>
        <w:rPr>
          <w:rFonts w:cs="Arial"/>
          <w:szCs w:val="22"/>
          <w:lang w:eastAsia="de-CH"/>
        </w:rPr>
      </w:pPr>
      <w:r w:rsidRPr="006C5D83">
        <w:rPr>
          <w:rFonts w:cs="Arial"/>
          <w:szCs w:val="22"/>
          <w:lang w:eastAsia="de-CH"/>
        </w:rPr>
        <w:t>Studienzwecken in der Schweiz. Zur Aufnahme eines Nebenerwerbes während der Studienzeit</w:t>
      </w:r>
      <w:r>
        <w:rPr>
          <w:rFonts w:cs="Arial"/>
          <w:szCs w:val="22"/>
          <w:lang w:eastAsia="de-CH"/>
        </w:rPr>
        <w:t xml:space="preserve"> </w:t>
      </w:r>
      <w:r w:rsidRPr="006C5D83">
        <w:rPr>
          <w:rFonts w:cs="Arial"/>
          <w:szCs w:val="22"/>
          <w:lang w:eastAsia="de-CH"/>
        </w:rPr>
        <w:t>beachten Sie bitte das Folgende:</w:t>
      </w:r>
    </w:p>
    <w:p w:rsidR="006C5D83" w:rsidRDefault="006C5D83" w:rsidP="006C5D83">
      <w:pPr>
        <w:autoSpaceDE w:val="0"/>
        <w:autoSpaceDN w:val="0"/>
        <w:adjustRightInd w:val="0"/>
        <w:rPr>
          <w:rFonts w:cs="Arial"/>
          <w:szCs w:val="22"/>
          <w:lang w:eastAsia="de-CH"/>
        </w:rPr>
      </w:pPr>
    </w:p>
    <w:p w:rsidR="006C5D83" w:rsidRPr="006C5D83" w:rsidRDefault="006C5D83" w:rsidP="006C5D83">
      <w:pPr>
        <w:autoSpaceDE w:val="0"/>
        <w:autoSpaceDN w:val="0"/>
        <w:adjustRightInd w:val="0"/>
        <w:rPr>
          <w:rFonts w:cs="Arial"/>
          <w:szCs w:val="22"/>
          <w:lang w:eastAsia="de-CH"/>
        </w:rPr>
      </w:pPr>
    </w:p>
    <w:p w:rsidR="006C5D83" w:rsidRDefault="006C5D83" w:rsidP="006C5D83">
      <w:pPr>
        <w:autoSpaceDE w:val="0"/>
        <w:autoSpaceDN w:val="0"/>
        <w:adjustRightInd w:val="0"/>
        <w:rPr>
          <w:rFonts w:cs="Arial"/>
          <w:b/>
          <w:bCs/>
          <w:szCs w:val="22"/>
          <w:lang w:eastAsia="de-CH"/>
        </w:rPr>
      </w:pPr>
      <w:r w:rsidRPr="006C5D83">
        <w:rPr>
          <w:rFonts w:cs="Arial"/>
          <w:b/>
          <w:bCs/>
          <w:szCs w:val="22"/>
          <w:lang w:eastAsia="de-CH"/>
        </w:rPr>
        <w:t>Studierende EU-2</w:t>
      </w:r>
      <w:r w:rsidR="00967B2A">
        <w:rPr>
          <w:rFonts w:cs="Arial"/>
          <w:b/>
          <w:bCs/>
          <w:szCs w:val="22"/>
          <w:lang w:eastAsia="de-CH"/>
        </w:rPr>
        <w:t>7</w:t>
      </w:r>
      <w:r w:rsidRPr="006C5D83">
        <w:rPr>
          <w:rFonts w:cs="Arial"/>
          <w:b/>
          <w:bCs/>
          <w:szCs w:val="22"/>
          <w:lang w:eastAsia="de-CH"/>
        </w:rPr>
        <w:t>/EFTA mit Nebenerwerb:</w:t>
      </w:r>
    </w:p>
    <w:p w:rsidR="006C5D83" w:rsidRPr="006C5D83" w:rsidRDefault="006C5D83" w:rsidP="006C5D83">
      <w:pPr>
        <w:autoSpaceDE w:val="0"/>
        <w:autoSpaceDN w:val="0"/>
        <w:adjustRightInd w:val="0"/>
        <w:rPr>
          <w:rFonts w:cs="Arial"/>
          <w:b/>
          <w:bCs/>
          <w:szCs w:val="22"/>
          <w:lang w:eastAsia="de-CH"/>
        </w:rPr>
      </w:pPr>
    </w:p>
    <w:p w:rsidR="006C5D83" w:rsidRPr="006C5D83" w:rsidRDefault="006C5D83" w:rsidP="006C5D83">
      <w:pPr>
        <w:autoSpaceDE w:val="0"/>
        <w:autoSpaceDN w:val="0"/>
        <w:adjustRightInd w:val="0"/>
        <w:rPr>
          <w:rFonts w:cs="Arial"/>
          <w:szCs w:val="22"/>
          <w:lang w:eastAsia="de-CH"/>
        </w:rPr>
      </w:pPr>
      <w:r w:rsidRPr="006C5D83">
        <w:rPr>
          <w:rFonts w:cs="Arial"/>
          <w:szCs w:val="22"/>
          <w:lang w:eastAsia="de-CH"/>
        </w:rPr>
        <w:t>EU-2</w:t>
      </w:r>
      <w:r>
        <w:rPr>
          <w:rFonts w:cs="Arial"/>
          <w:szCs w:val="22"/>
          <w:lang w:eastAsia="de-CH"/>
        </w:rPr>
        <w:t>7</w:t>
      </w:r>
      <w:r w:rsidRPr="006C5D83">
        <w:rPr>
          <w:rFonts w:cs="Arial"/>
          <w:szCs w:val="22"/>
          <w:lang w:eastAsia="de-CH"/>
        </w:rPr>
        <w:t>/EFTA-Staatsangeh</w:t>
      </w:r>
      <w:bookmarkStart w:id="0" w:name="_GoBack"/>
      <w:bookmarkEnd w:id="0"/>
      <w:r w:rsidRPr="006C5D83">
        <w:rPr>
          <w:rFonts w:cs="Arial"/>
          <w:szCs w:val="22"/>
          <w:lang w:eastAsia="de-CH"/>
        </w:rPr>
        <w:t>örige in Ausbildung (Studierende, Weiterbildung), denen eine</w:t>
      </w:r>
    </w:p>
    <w:p w:rsidR="006C5D83" w:rsidRDefault="006C5D83" w:rsidP="006C5D83">
      <w:pPr>
        <w:autoSpaceDE w:val="0"/>
        <w:autoSpaceDN w:val="0"/>
        <w:adjustRightInd w:val="0"/>
        <w:rPr>
          <w:rFonts w:cs="Arial"/>
          <w:szCs w:val="22"/>
          <w:lang w:eastAsia="de-CH"/>
        </w:rPr>
      </w:pPr>
      <w:r w:rsidRPr="006C5D83">
        <w:rPr>
          <w:rFonts w:cs="Arial"/>
          <w:szCs w:val="22"/>
          <w:lang w:eastAsia="de-CH"/>
        </w:rPr>
        <w:t xml:space="preserve">Aufenthaltsbewilligung zu Studienzwecken ausgestellt wurde, können einen Nebenerwerb </w:t>
      </w:r>
      <w:r w:rsidRPr="0002076B">
        <w:rPr>
          <w:rFonts w:cs="Arial"/>
          <w:b/>
          <w:szCs w:val="22"/>
          <w:lang w:eastAsia="de-CH"/>
        </w:rPr>
        <w:t>von bis zu</w:t>
      </w:r>
      <w:r w:rsidRPr="006C5D83">
        <w:rPr>
          <w:rFonts w:cs="Arial"/>
          <w:szCs w:val="22"/>
          <w:lang w:eastAsia="de-CH"/>
        </w:rPr>
        <w:t xml:space="preserve"> 15 Stunden in der Woche ausüben. Es besteht jedoch eine Meldepflicht. Der Arbeitgeber</w:t>
      </w:r>
      <w:r>
        <w:rPr>
          <w:rFonts w:cs="Arial"/>
          <w:szCs w:val="22"/>
          <w:lang w:eastAsia="de-CH"/>
        </w:rPr>
        <w:t xml:space="preserve"> </w:t>
      </w:r>
      <w:r w:rsidRPr="006C5D83">
        <w:rPr>
          <w:rFonts w:cs="Arial"/>
          <w:szCs w:val="22"/>
          <w:lang w:eastAsia="de-CH"/>
        </w:rPr>
        <w:t>hat daher den Nebenerwerb mittels Formular 1 (erhältlich unter www.migration.lu.ch) und</w:t>
      </w:r>
      <w:r>
        <w:rPr>
          <w:rFonts w:cs="Arial"/>
          <w:szCs w:val="22"/>
          <w:lang w:eastAsia="de-CH"/>
        </w:rPr>
        <w:t xml:space="preserve"> </w:t>
      </w:r>
      <w:r w:rsidRPr="006C5D83">
        <w:rPr>
          <w:rFonts w:cs="Arial"/>
          <w:szCs w:val="22"/>
          <w:lang w:eastAsia="de-CH"/>
        </w:rPr>
        <w:t xml:space="preserve">Arbeitsvertrag </w:t>
      </w:r>
      <w:r w:rsidR="0002076B">
        <w:rPr>
          <w:rFonts w:cs="Arial"/>
          <w:szCs w:val="22"/>
          <w:lang w:eastAsia="de-CH"/>
        </w:rPr>
        <w:t>dem Amt für Migration Luzern</w:t>
      </w:r>
      <w:r w:rsidRPr="006C5D83">
        <w:rPr>
          <w:rFonts w:cs="Arial"/>
          <w:szCs w:val="22"/>
          <w:lang w:eastAsia="de-CH"/>
        </w:rPr>
        <w:t xml:space="preserve"> zu melden. Während des</w:t>
      </w:r>
      <w:r>
        <w:rPr>
          <w:rFonts w:cs="Arial"/>
          <w:szCs w:val="22"/>
          <w:lang w:eastAsia="de-CH"/>
        </w:rPr>
        <w:t xml:space="preserve"> </w:t>
      </w:r>
      <w:r w:rsidRPr="006C5D83">
        <w:rPr>
          <w:rFonts w:cs="Arial"/>
          <w:szCs w:val="22"/>
          <w:lang w:eastAsia="de-CH"/>
        </w:rPr>
        <w:t>Semesters darf die Arbeitszeit 15 Stunden pro Woche nicht überschreiten. Eine</w:t>
      </w:r>
      <w:r>
        <w:rPr>
          <w:rFonts w:cs="Arial"/>
          <w:szCs w:val="22"/>
          <w:lang w:eastAsia="de-CH"/>
        </w:rPr>
        <w:t xml:space="preserve"> </w:t>
      </w:r>
      <w:r w:rsidRPr="006C5D83">
        <w:rPr>
          <w:rFonts w:cs="Arial"/>
          <w:szCs w:val="22"/>
          <w:lang w:eastAsia="de-CH"/>
        </w:rPr>
        <w:t>Vollzeitbeschäftigung während der Semesterferien ist möglich, sofern sie gemeldet wird.</w:t>
      </w:r>
    </w:p>
    <w:p w:rsidR="006C5D83" w:rsidRPr="006C5D83" w:rsidRDefault="006C5D83" w:rsidP="006C5D83">
      <w:pPr>
        <w:autoSpaceDE w:val="0"/>
        <w:autoSpaceDN w:val="0"/>
        <w:adjustRightInd w:val="0"/>
        <w:rPr>
          <w:rFonts w:cs="Arial"/>
          <w:szCs w:val="22"/>
          <w:lang w:eastAsia="de-CH"/>
        </w:rPr>
      </w:pPr>
    </w:p>
    <w:p w:rsidR="006C5D83" w:rsidRPr="006C5D83" w:rsidRDefault="006C5D83" w:rsidP="006C5D83">
      <w:pPr>
        <w:autoSpaceDE w:val="0"/>
        <w:autoSpaceDN w:val="0"/>
        <w:adjustRightInd w:val="0"/>
        <w:rPr>
          <w:rFonts w:cs="Arial"/>
          <w:szCs w:val="22"/>
          <w:lang w:eastAsia="de-CH"/>
        </w:rPr>
      </w:pPr>
      <w:r w:rsidRPr="006C5D83">
        <w:rPr>
          <w:rFonts w:cs="Arial"/>
          <w:szCs w:val="22"/>
          <w:lang w:eastAsia="de-CH"/>
        </w:rPr>
        <w:t xml:space="preserve">Eine Arbeitstätigkeit </w:t>
      </w:r>
      <w:r w:rsidRPr="0002076B">
        <w:rPr>
          <w:rFonts w:cs="Arial"/>
          <w:b/>
          <w:szCs w:val="22"/>
          <w:lang w:eastAsia="de-CH"/>
        </w:rPr>
        <w:t>von mehr als</w:t>
      </w:r>
      <w:r w:rsidRPr="006C5D83">
        <w:rPr>
          <w:rFonts w:cs="Arial"/>
          <w:szCs w:val="22"/>
          <w:lang w:eastAsia="de-CH"/>
        </w:rPr>
        <w:t xml:space="preserve"> 15 Stunden pro Woche ist bewilligungspflichtig. Der</w:t>
      </w:r>
    </w:p>
    <w:p w:rsidR="006C5D83" w:rsidRDefault="006C5D83" w:rsidP="006C5D83">
      <w:pPr>
        <w:autoSpaceDE w:val="0"/>
        <w:autoSpaceDN w:val="0"/>
        <w:adjustRightInd w:val="0"/>
        <w:rPr>
          <w:rFonts w:cs="Arial"/>
          <w:szCs w:val="22"/>
          <w:lang w:eastAsia="de-CH"/>
        </w:rPr>
      </w:pPr>
      <w:r w:rsidRPr="006C5D83">
        <w:rPr>
          <w:rFonts w:cs="Arial"/>
          <w:szCs w:val="22"/>
          <w:lang w:eastAsia="de-CH"/>
        </w:rPr>
        <w:t xml:space="preserve">Arbeitgeber hat ein entsprechendes Gesuch (Formular 1) </w:t>
      </w:r>
      <w:r w:rsidR="0002076B">
        <w:rPr>
          <w:rFonts w:cs="Arial"/>
          <w:szCs w:val="22"/>
          <w:lang w:eastAsia="de-CH"/>
        </w:rPr>
        <w:t xml:space="preserve">zusammen mit dem Arbeitsvertrag und einer Passkopie </w:t>
      </w:r>
      <w:r w:rsidRPr="006C5D83">
        <w:rPr>
          <w:rFonts w:cs="Arial"/>
          <w:szCs w:val="22"/>
          <w:lang w:eastAsia="de-CH"/>
        </w:rPr>
        <w:t xml:space="preserve">dem Amt für </w:t>
      </w:r>
      <w:r w:rsidR="0002076B">
        <w:rPr>
          <w:rFonts w:cs="Arial"/>
          <w:szCs w:val="22"/>
          <w:lang w:eastAsia="de-CH"/>
        </w:rPr>
        <w:t>Migration des Kantons Luzern zu stellen</w:t>
      </w:r>
      <w:r w:rsidRPr="006C5D83">
        <w:rPr>
          <w:rFonts w:cs="Arial"/>
          <w:szCs w:val="22"/>
          <w:lang w:eastAsia="de-CH"/>
        </w:rPr>
        <w:t>.</w:t>
      </w:r>
    </w:p>
    <w:p w:rsidR="006C5D83" w:rsidRDefault="006C5D83" w:rsidP="006C5D83">
      <w:pPr>
        <w:autoSpaceDE w:val="0"/>
        <w:autoSpaceDN w:val="0"/>
        <w:adjustRightInd w:val="0"/>
        <w:rPr>
          <w:rFonts w:cs="Arial"/>
          <w:szCs w:val="22"/>
          <w:lang w:eastAsia="de-CH"/>
        </w:rPr>
      </w:pPr>
    </w:p>
    <w:p w:rsidR="0002076B" w:rsidRPr="006C5D83" w:rsidRDefault="0002076B" w:rsidP="006C5D83">
      <w:pPr>
        <w:autoSpaceDE w:val="0"/>
        <w:autoSpaceDN w:val="0"/>
        <w:adjustRightInd w:val="0"/>
        <w:rPr>
          <w:rFonts w:cs="Arial"/>
          <w:szCs w:val="22"/>
          <w:lang w:eastAsia="de-CH"/>
        </w:rPr>
      </w:pPr>
      <w:r>
        <w:rPr>
          <w:rFonts w:cs="Arial"/>
          <w:szCs w:val="22"/>
          <w:lang w:eastAsia="de-CH"/>
        </w:rPr>
        <w:t>Das Studium muss jedoch immer Hauptaufenthaltszweck bleiben.</w:t>
      </w:r>
    </w:p>
    <w:sectPr w:rsidR="0002076B" w:rsidRPr="006C5D83" w:rsidSect="002752C1">
      <w:headerReference w:type="default" r:id="rId6"/>
      <w:headerReference w:type="first" r:id="rId7"/>
      <w:footerReference w:type="first" r:id="rId8"/>
      <w:pgSz w:w="11906" w:h="16838" w:code="9"/>
      <w:pgMar w:top="1418" w:right="1134" w:bottom="851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7C" w:rsidRDefault="005A407C">
      <w:r>
        <w:separator/>
      </w:r>
    </w:p>
  </w:endnote>
  <w:endnote w:type="continuationSeparator" w:id="0">
    <w:p w:rsidR="005A407C" w:rsidRDefault="005A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8D2659">
      <w:trPr>
        <w:trHeight w:val="360"/>
      </w:trPr>
      <w:tc>
        <w:tcPr>
          <w:tcW w:w="0" w:type="auto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8D2659" w:rsidRDefault="008D2659">
          <w:pPr>
            <w:shd w:val="clear" w:color="auto" w:fill="FFFFFF"/>
            <w:rPr>
              <w:rFonts w:eastAsia="Arial" w:cs="Arial"/>
              <w:color w:val="000000"/>
              <w:sz w:val="14"/>
              <w:szCs w:val="14"/>
              <w:bdr w:val="nil"/>
            </w:rPr>
          </w:pPr>
        </w:p>
      </w:tc>
    </w:tr>
    <w:tr w:rsidR="008D2659">
      <w:trPr>
        <w:trHeight w:hRule="exact" w:val="20"/>
      </w:trPr>
      <w:tc>
        <w:tcPr>
          <w:tcW w:w="5000" w:type="pct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D2659" w:rsidRDefault="008D2659">
          <w:pPr>
            <w:shd w:val="clear" w:color="auto" w:fill="FFFFFF"/>
          </w:pPr>
          <w:bookmarkStart w:id="1" w:name="MetaTool_Table1"/>
          <w:bookmarkEnd w:id="1"/>
        </w:p>
      </w:tc>
    </w:tr>
  </w:tbl>
  <w:p w:rsidR="005F2087" w:rsidRPr="005F2087" w:rsidRDefault="0002076B" w:rsidP="005F2087">
    <w:pPr>
      <w:autoSpaceDE w:val="0"/>
      <w:autoSpaceDN w:val="0"/>
      <w:adjustRightInd w:val="0"/>
      <w:rPr>
        <w:rFonts w:ascii="Times New Roman" w:eastAsiaTheme="minorEastAsia" w:hAnsi="Times New Roman"/>
        <w:sz w:val="2"/>
        <w:szCs w:val="2"/>
        <w:lang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7C" w:rsidRDefault="005A407C">
      <w:r>
        <w:separator/>
      </w:r>
    </w:p>
  </w:footnote>
  <w:footnote w:type="continuationSeparator" w:id="0">
    <w:p w:rsidR="005A407C" w:rsidRDefault="005A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5FB" w:rsidRDefault="008C5F94">
    <w:pPr>
      <w:pStyle w:val="Kopfzeile"/>
      <w:tabs>
        <w:tab w:val="clear" w:pos="4536"/>
      </w:tabs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B1" w:rsidRDefault="008C5F94">
    <w:pPr>
      <w:pStyle w:val="Kopfzeile"/>
    </w:pPr>
    <w:r>
      <w:rPr>
        <w:noProof/>
        <w:lang w:eastAsia="de-CH"/>
      </w:rPr>
      <w:drawing>
        <wp:inline distT="0" distB="0" distL="0" distR="0" wp14:anchorId="5739D4C2" wp14:editId="60A401FF">
          <wp:extent cx="3617595" cy="866140"/>
          <wp:effectExtent l="0" t="0" r="1905" b="0"/>
          <wp:docPr id="1" name="Bild 1" descr="J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759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D4A" w:rsidRPr="00EF0D4A" w:rsidRDefault="00EF0D4A">
    <w:pPr>
      <w:pStyle w:val="Kopfzeile"/>
      <w:rPr>
        <w:sz w:val="6"/>
        <w:szCs w:val="6"/>
      </w:rPr>
    </w:pPr>
  </w:p>
  <w:p w:rsidR="003B55B1" w:rsidRPr="003B55B1" w:rsidRDefault="00EF0D4A">
    <w:pPr>
      <w:pStyle w:val="Kopfzeile"/>
      <w:rPr>
        <w:sz w:val="24"/>
        <w:szCs w:val="24"/>
      </w:rPr>
    </w:pPr>
    <w:r>
      <w:rPr>
        <w:noProof/>
        <w:lang w:eastAsia="de-CH"/>
      </w:rPr>
      <w:drawing>
        <wp:inline distT="0" distB="0" distL="0" distR="0" wp14:anchorId="0EED8694" wp14:editId="4950A7AB">
          <wp:extent cx="2518410" cy="858520"/>
          <wp:effectExtent l="0" t="0" r="0" b="0"/>
          <wp:docPr id="2" name="Grafik 2" descr="C:\Users\TInderkum\Desktop\AFM-Aufenthal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Inderkum\Desktop\AFM-Aufenthalt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6650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DocumentGuid=&quot;e14ce29e-738d-4ef4-9166-d2d2df55642c&quot; IsTemplate=&quot;true&quot; GridStep=&quot;59.055118560791016&quot; Name=&quot;Dokument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Margins=&quot;0; 0; 0; 0&quot; Name=&quot;Seite1&quot; Size=&quot;2480.3149606299212;3507.8740157480315&quot;&gt;&lt;Controls type=&quot;PerpetuumSoft.Reporting.DOM.ReportControlCollection&quot; id=&quot;27&quot;&gt;&lt;Item type=&quot;PerpetuumSoft.Reporting.DOM.DataBand&quot; id=&quot;28&quot; ColumnsGap=&quot;0&quot; Location=&quot;0;59.055118560791016&quot; Name=&quot;dataBandDokument&quot; Size=&quot;2480.3149606299212;118.11023712158203&quot; DataSource=&quot;Dokument&quot;&gt;&lt;DataBindings type=&quot;PerpetuumSoft.Reporting.DOM.ReportDataBindingCollection&quot; id=&quot;29&quot; /&gt;&lt;Sort type=&quot;PerpetuumSoft.Reporting.DOM.DataBandSortCollection&quot; id=&quot;30&quot; /&gt;&lt;Totals type=&quot;PerpetuumSoft.Reporting.DOM.DataBandTotalCollection&quot; id=&quot;31&quot; /&gt;&lt;Controls type=&quot;PerpetuumSoft.Reporting.DOM.ReportControlCollection&quot; id=&quot;32&quot;&gt;&lt;Item type=&quot;PerpetuumSoft.Reporting.DOM.Detail&quot; id=&quot;33&quot; Location=&quot;0;0&quot; CanBreak=&quot;true&quot; Size=&quot;2480.3149606299212;59.055118560791016&quot; Name=&quot;Detail&quot;&gt;&lt;Controls type=&quot;PerpetuumSoft.Reporting.DOM.ReportControlCollection&quot; id=&quot;34&quot;&gt;&lt;Item type=&quot;PerpetuumSoft.Reporting.DOM.TextBox&quot; id=&quot;35&quot; StyleName=&quot;Standard&quot; Location=&quot;0;0&quot; Name=&quot;textBox1&quot; Size=&quot;2480.31494140625;59.055118560791016&quot; GenerateScript=&quot;textBox1.Text = String.Empty;&amp;#xD;&amp;#xA;if (dataBandDokument[&amp;quot;Aktivitaeten&amp;quot;] != null)&amp;#xD;&amp;#xA;{&amp;#xD;&amp;#xA;  if (dataBandDokument[&amp;quot;Aktivitaeten.Geschaeft$Geschaeft.Signatur&amp;quot;] != null &amp;amp;&amp;amp; dataBandDokument[&amp;quot;Aktivitaeten.Geschaeft$Geschaeft.Signatur&amp;quot;] != &amp;quot;&amp;quot;)&amp;#xD;&amp;#xA;  {&amp;#xD;&amp;#xA;    textBox1.Text = dataBandDokument[&amp;quot;Aktivitaeten.Geschaeft$Geschaeft.Signatur&amp;quot;].ToString() + &amp;quot; / &amp;quot; + dataBandDokument[&amp;quot;Titel&amp;quot;].ToString();&amp;#xD;&amp;#xA;  }&amp;#xD;&amp;#xA;  else&amp;#xD;&amp;#xA;  {&amp;#xD;&amp;#xA;    textBox1.Text = dataBandDokument[&amp;quot;Aktivitaeten.Geschaeft$Geschaeft.Laufnummer&amp;quot;].ToString() + &amp;quot; / &amp;quot; + dataBandDokument[&amp;quot;Titel&amp;quot;].ToString();&amp;#xD;&amp;#xA;  }&amp;#xD;&amp;#xA;}&amp;#xD;&amp;#xA;else if (dataBandDokument[&amp;quot;Geschaeft$Geschaeft&amp;quot;] != null)&amp;#xD;&amp;#xA;{&amp;#xD;&amp;#xA;  if (dataBandDokument[&amp;quot;Geschaeft$Geschaeft.Signatur&amp;quot;] != null &amp;amp;&amp;amp; dataBandDokument[&amp;quot;Geschaeft$Geschaeft.Signatur&amp;quot;] != &amp;quot;&amp;quot;)&amp;#xD;&amp;#xA;  {&amp;#xD;&amp;#xA;    textBox1.Text = dataBandDokument[&amp;quot;Geschaeft$Geschaeft.Signatur&amp;quot;].ToString() + &amp;quot; / &amp;quot; + dataBandDokument[&amp;quot;Titel&amp;quot;].ToString();&amp;#xD;&amp;#xA;  }  &amp;#xD;&amp;#xA;  else&amp;#xD;&amp;#xA;  {&amp;#xD;&amp;#xA;    textBox1.Text = dataBandDokument[&amp;quot;Geschaeft$Geschaeft.Laufnummer&amp;quot;].ToString() + &amp;quot; / &amp;quot; + dataBandDokument[&amp;quot;Titel&amp;quot;].ToString();&amp;#xD;&amp;#xA;  }&amp;#xD;&amp;#xA;}&amp;#xD;&amp;#xA;else&amp;#xD;&amp;#xA;{&amp;#xD;&amp;#xA;  textBox1.Text = String.Empty;&amp;#xD;&amp;#xA;}&quot;&gt;&lt;DataBindings type=&quot;PerpetuumSoft.Reporting.DOM.ReportDataBindingCollection&quot; id=&quot;36&quot; /&gt;&lt;Font type=&quot;PerpetuumSoft.Framework.Drawing.FontDescriptor&quot; id=&quot;37&quot; FamilyName=&quot;Arial&quot; Size=&quot;6.75&quot; Italic=&quot;Off&quot; Bold=&quot;Off&quot; Strikeout=&quot;Off&quot; Underline=&quot;Off&quot; /&gt;&lt;/Item&gt;&lt;/Controls&gt;&lt;Aggregates type=&quot;PerpetuumSoft.Reporting.DOM.AggregateCollection&quot; id=&quot;38&quot; /&gt;&lt;DataBindings type=&quot;PerpetuumSoft.Reporting.DOM.ReportDataBindingCollection&quot; id=&quot;39&quot; /&gt;&lt;/Item&gt;&lt;/Controls&gt;&lt;Aggregates type=&quot;PerpetuumSoft.Reporting.DOM.Aggregate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1_Selection" w:val="All"/>
    <w:docVar w:name="MetaTool_TypeDefinition" w:val="Dokument"/>
  </w:docVars>
  <w:rsids>
    <w:rsidRoot w:val="008D2659"/>
    <w:rsid w:val="0002076B"/>
    <w:rsid w:val="0018445A"/>
    <w:rsid w:val="002C02F9"/>
    <w:rsid w:val="0031173B"/>
    <w:rsid w:val="004C4BEE"/>
    <w:rsid w:val="005A407C"/>
    <w:rsid w:val="005F1FB6"/>
    <w:rsid w:val="006C5D83"/>
    <w:rsid w:val="0085727D"/>
    <w:rsid w:val="008C5F94"/>
    <w:rsid w:val="008D2659"/>
    <w:rsid w:val="009409CA"/>
    <w:rsid w:val="00947964"/>
    <w:rsid w:val="00967B2A"/>
    <w:rsid w:val="00BA6D3B"/>
    <w:rsid w:val="00DC74B7"/>
    <w:rsid w:val="00DF46E6"/>
    <w:rsid w:val="00E0071F"/>
    <w:rsid w:val="00E63C39"/>
    <w:rsid w:val="00EF0D4A"/>
    <w:rsid w:val="00F4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1C21E9B"/>
  <w15:docId w15:val="{1C3A8BF8-0E29-4810-A3D4-B5A75E1A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F37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OID</vt:lpstr>
    </vt:vector>
  </TitlesOfParts>
  <Company>Compaq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OID</dc:title>
  <dc:creator>Thomas Inderkum</dc:creator>
  <cp:lastModifiedBy>Joel Bortis</cp:lastModifiedBy>
  <cp:revision>2</cp:revision>
  <cp:lastPrinted>2007-09-11T06:46:00Z</cp:lastPrinted>
  <dcterms:created xsi:type="dcterms:W3CDTF">2024-01-09T10:14:00Z</dcterms:created>
  <dcterms:modified xsi:type="dcterms:W3CDTF">2024-01-09T10:14:00Z</dcterms:modified>
</cp:coreProperties>
</file>