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3E2C" w14:textId="492E620A" w:rsidR="005A2EDD" w:rsidRDefault="005A2EDD" w:rsidP="004B6DAC">
      <w:r w:rsidRPr="009A6849">
        <w:rPr>
          <w:rStyle w:val="Fett"/>
          <w:b w:val="0"/>
          <w:bCs w:val="0"/>
          <w:noProof/>
          <w:sz w:val="16"/>
          <w:szCs w:val="16"/>
        </w:rPr>
        <mc:AlternateContent>
          <mc:Choice Requires="wps">
            <w:drawing>
              <wp:anchor distT="45720" distB="45720" distL="114300" distR="114300" simplePos="0" relativeHeight="251659264" behindDoc="1" locked="0" layoutInCell="1" allowOverlap="1" wp14:anchorId="1373EDC8" wp14:editId="6175C475">
                <wp:simplePos x="0" y="0"/>
                <wp:positionH relativeFrom="column">
                  <wp:posOffset>3542145</wp:posOffset>
                </wp:positionH>
                <wp:positionV relativeFrom="paragraph">
                  <wp:posOffset>-555204</wp:posOffset>
                </wp:positionV>
                <wp:extent cx="2360930" cy="1735867"/>
                <wp:effectExtent l="0" t="0" r="0" b="0"/>
                <wp:wrapNone/>
                <wp:docPr id="4218461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3586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CC6BBE" w14:textId="3071702E" w:rsidR="005A2EDD" w:rsidRDefault="005A2EDD" w:rsidP="009A6849">
                            <w:pPr>
                              <w:tabs>
                                <w:tab w:val="left" w:pos="3261"/>
                              </w:tabs>
                            </w:pPr>
                            <w:r>
                              <w:t xml:space="preserve">        </w:t>
                            </w:r>
                            <w:r w:rsidR="00CC2950">
                              <w:t>Q</w:t>
                            </w:r>
                            <w:r>
                              <w:t>R Code Online Formular</w:t>
                            </w:r>
                          </w:p>
                          <w:p w14:paraId="6C4E5ED1" w14:textId="77777777" w:rsidR="005A2EDD" w:rsidRDefault="005A2EDD" w:rsidP="009A6849">
                            <w:pPr>
                              <w:tabs>
                                <w:tab w:val="left" w:pos="3261"/>
                              </w:tabs>
                              <w:ind w:firstLine="709"/>
                            </w:pPr>
                          </w:p>
                          <w:p w14:paraId="15986F70" w14:textId="77777777" w:rsidR="005A2EDD" w:rsidRDefault="005A2EDD" w:rsidP="009A6849">
                            <w:pPr>
                              <w:tabs>
                                <w:tab w:val="left" w:pos="3261"/>
                              </w:tabs>
                              <w:jc w:val="center"/>
                            </w:pPr>
                            <w:r>
                              <w:rPr>
                                <w:noProof/>
                              </w:rPr>
                              <w:drawing>
                                <wp:inline distT="0" distB="0" distL="0" distR="0" wp14:anchorId="28F52057" wp14:editId="5EE66E9D">
                                  <wp:extent cx="949184" cy="949184"/>
                                  <wp:effectExtent l="0" t="0" r="3810" b="3810"/>
                                  <wp:docPr id="100" name="Picture 100"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Ein Bild, das Schwarz, Dunkelheit enthält.&#10;&#10;KI-generierte Inhalte können fehlerhaft sein."/>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954492" cy="954492"/>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373EDC8" id="_x0000_t202" coordsize="21600,21600" o:spt="202" path="m,l,21600r21600,l21600,xe">
                <v:stroke joinstyle="miter"/>
                <v:path gradientshapeok="t" o:connecttype="rect"/>
              </v:shapetype>
              <v:shape id="Textfeld 2" o:spid="_x0000_s1026" type="#_x0000_t202" style="position:absolute;margin-left:278.9pt;margin-top:-43.7pt;width:185.9pt;height:136.7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3/LgIAAKIEAAAOAAAAZHJzL2Uyb0RvYy54bWysVNtu2zAMfR+wfxD0vji3pq0Rp+hSdBjQ&#10;XbBuHyDLUmxUFjVKiZ19fSk5SbPtqcNeDEkkDw95SC9v+tawnULfgC34ZDTmTFkJVWM3Bf/x/f7d&#10;FWc+CFsJA1YVfK88v1m9fbPsXK6mUIOpFDICsT7vXMHrEFyeZV7WqhV+BE5ZMmrAVgS64iarUHSE&#10;3ppsOh4vsg6wcghSeU+vd4ORrxK+1kqGL1p7FZgpOHEL6YvpW8ZvtlqKfIPC1Y080BD/wKIVjaWk&#10;J6g7EQTbYvMXVNtIBA86jCS0GWjdSJVqoGom4z+qeayFU6kWao53pzb5/wcrP+8e3VdkoX8PPQmY&#10;ivDuAeSTZxbWtbAbdYsIXa1ERYknsWVZ53x+CI2t9rmPIGX3CSoSWWwDJKBeYxu7QnUyQicB9qem&#10;qz4wSY/T2WJ8PSOTJNvkcnZxtbhMOUR+DHfowwcFLYuHgiOpmuDF7sGHSEfkR5eYzcJ9Y0xS1tjf&#10;HsgxviT6kfGBe9gbFf2M/aY0a6pENT54iZtybZANE0MjTTyPc5PAKCA6akr4ythDSIxWaVBfGX8K&#10;SvnBhlN821jAQci4RioWsBO0ANXToB7xHfyPrRgaEHUMfdlT5+KxhGpPoiIMS0NLToca8BdnHS1M&#10;wf3PrUDFmfloaTCuJ/N53LB0mV9cTumC55by3CKsJKiCB86G4zqkHsdiLNzSAOkmSfvC5ECWFiEp&#10;fljauGnn9+T18mtZPQMAAP//AwBQSwMEFAAGAAgAAAAhAMyjgO7hAAAACwEAAA8AAABkcnMvZG93&#10;bnJldi54bWxMj8tOwzAQRfdI/IM1SOxah6p5NMSpECoLJBa0lL1rTx5tbEexkwa+nmEFy9E9uvdM&#10;sZ1NxyYcfOusgIdlBAytcrq1tYDjx8siA+aDtFp2zqKAL/SwLW9vCplrd7V7nA6hZlRifS4FNCH0&#10;OedeNWikX7oeLWWVG4wMdA4114O8Urnp+CqKEm5ka2mhkT0+N6guh9EIqF4/U/O2rnbH3Rh/n6dY&#10;ze+1EuL+bn56BBZwDn8w/OqTOpTkdHKj1Z51AuI4JfUgYJGla2BEbFabBNiJ0CyJgJcF//9D+QMA&#10;AP//AwBQSwECLQAUAAYACAAAACEAtoM4kv4AAADhAQAAEwAAAAAAAAAAAAAAAAAAAAAAW0NvbnRl&#10;bnRfVHlwZXNdLnhtbFBLAQItABQABgAIAAAAIQA4/SH/1gAAAJQBAAALAAAAAAAAAAAAAAAAAC8B&#10;AABfcmVscy8ucmVsc1BLAQItABQABgAIAAAAIQD5Pd3/LgIAAKIEAAAOAAAAAAAAAAAAAAAAAC4C&#10;AABkcnMvZTJvRG9jLnhtbFBLAQItABQABgAIAAAAIQDMo4Du4QAAAAsBAAAPAAAAAAAAAAAAAAAA&#10;AIgEAABkcnMvZG93bnJldi54bWxQSwUGAAAAAAQABADzAAAAlgUAAAAA&#10;" filled="f" stroked="f">
                <v:textbox>
                  <w:txbxContent>
                    <w:p w14:paraId="7BCC6BBE" w14:textId="3071702E" w:rsidR="005A2EDD" w:rsidRDefault="005A2EDD" w:rsidP="009A6849">
                      <w:pPr>
                        <w:tabs>
                          <w:tab w:val="left" w:pos="3261"/>
                        </w:tabs>
                      </w:pPr>
                      <w:r>
                        <w:t xml:space="preserve">        </w:t>
                      </w:r>
                      <w:r w:rsidR="00CC2950">
                        <w:t>Q</w:t>
                      </w:r>
                      <w:r>
                        <w:t>R Code Online Formular</w:t>
                      </w:r>
                    </w:p>
                    <w:p w14:paraId="6C4E5ED1" w14:textId="77777777" w:rsidR="005A2EDD" w:rsidRDefault="005A2EDD" w:rsidP="009A6849">
                      <w:pPr>
                        <w:tabs>
                          <w:tab w:val="left" w:pos="3261"/>
                        </w:tabs>
                        <w:ind w:firstLine="709"/>
                      </w:pPr>
                    </w:p>
                    <w:p w14:paraId="15986F70" w14:textId="77777777" w:rsidR="005A2EDD" w:rsidRDefault="005A2EDD" w:rsidP="009A6849">
                      <w:pPr>
                        <w:tabs>
                          <w:tab w:val="left" w:pos="3261"/>
                        </w:tabs>
                        <w:jc w:val="center"/>
                      </w:pPr>
                      <w:r>
                        <w:rPr>
                          <w:noProof/>
                        </w:rPr>
                        <w:drawing>
                          <wp:inline distT="0" distB="0" distL="0" distR="0" wp14:anchorId="28F52057" wp14:editId="5EE66E9D">
                            <wp:extent cx="949184" cy="949184"/>
                            <wp:effectExtent l="0" t="0" r="3810" b="3810"/>
                            <wp:docPr id="100" name="Picture 100"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Ein Bild, das Schwarz, Dunkelheit enthält.&#10;&#10;KI-generierte Inhalte können fehlerhaft sein."/>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954492" cy="954492"/>
                                    </a:xfrm>
                                    <a:prstGeom prst="rect">
                                      <a:avLst/>
                                    </a:prstGeom>
                                    <a:noFill/>
                                  </pic:spPr>
                                </pic:pic>
                              </a:graphicData>
                            </a:graphic>
                          </wp:inline>
                        </w:drawing>
                      </w:r>
                    </w:p>
                  </w:txbxContent>
                </v:textbox>
              </v:shape>
            </w:pict>
          </mc:Fallback>
        </mc:AlternateContent>
      </w:r>
    </w:p>
    <w:p w14:paraId="5841DDFB" w14:textId="77777777" w:rsidR="005A2EDD" w:rsidRPr="00A75AEA" w:rsidRDefault="005A2EDD" w:rsidP="003416F6">
      <w:pPr>
        <w:pStyle w:val="AbsenderText"/>
        <w:rPr>
          <w:b/>
          <w:bCs/>
        </w:rPr>
      </w:pPr>
      <w:r w:rsidRPr="00A75AEA">
        <w:rPr>
          <w:rStyle w:val="Fett"/>
          <w:b w:val="0"/>
          <w:bCs w:val="0"/>
        </w:rPr>
        <w:t>Justiz- und Sicherheitsdepartement</w:t>
      </w:r>
    </w:p>
    <w:p w14:paraId="71EDBF1F" w14:textId="77777777" w:rsidR="005A2EDD" w:rsidRDefault="005A2EDD" w:rsidP="003416F6">
      <w:pPr>
        <w:pStyle w:val="AbsenderText"/>
        <w:rPr>
          <w:b/>
          <w:bCs/>
        </w:rPr>
      </w:pPr>
      <w:r w:rsidRPr="003416F6">
        <w:rPr>
          <w:b/>
          <w:bCs/>
        </w:rPr>
        <w:t>Amt für Migration</w:t>
      </w:r>
    </w:p>
    <w:p w14:paraId="48C9F967" w14:textId="77777777" w:rsidR="005A2EDD" w:rsidRPr="00CB2CB7" w:rsidRDefault="005A2EDD" w:rsidP="003416F6">
      <w:pPr>
        <w:pStyle w:val="AbsenderText"/>
        <w:rPr>
          <w:highlight w:val="white"/>
        </w:rPr>
      </w:pPr>
      <w:r w:rsidRPr="00CB2CB7">
        <w:t>Aufenthalt</w:t>
      </w:r>
      <w:r w:rsidRPr="00CB2CB7">
        <w:br/>
      </w:r>
      <w:proofErr w:type="spellStart"/>
      <w:r w:rsidRPr="00CB2CB7">
        <w:t>Fruttstrasse</w:t>
      </w:r>
      <w:proofErr w:type="spellEnd"/>
      <w:r w:rsidRPr="00CB2CB7">
        <w:t xml:space="preserve"> 15</w:t>
      </w:r>
      <w:r w:rsidRPr="00CB2CB7">
        <w:br/>
        <w:t>6002 Luzern</w:t>
      </w:r>
      <w:r w:rsidRPr="00CB2CB7">
        <w:br/>
        <w:t>Telefon 041 228 77 80</w:t>
      </w:r>
      <w:r w:rsidRPr="00CB2CB7">
        <w:br/>
        <w:t>migration@lu.ch</w:t>
      </w:r>
      <w:r w:rsidRPr="00CB2CB7">
        <w:br/>
        <w:t>www.lu.ch</w:t>
      </w:r>
    </w:p>
    <w:p w14:paraId="7399CD27" w14:textId="77777777" w:rsidR="005A2EDD" w:rsidRDefault="005A2EDD" w:rsidP="004B6DAC">
      <w:pPr>
        <w:rPr>
          <w:rFonts w:ascii="Arial Black" w:hAnsi="Arial Black"/>
          <w:b/>
          <w:szCs w:val="22"/>
        </w:rPr>
      </w:pPr>
    </w:p>
    <w:p w14:paraId="010AC7CC" w14:textId="04595EE3" w:rsidR="004B6DAC" w:rsidRPr="004B6DAC" w:rsidRDefault="004B6DAC" w:rsidP="004B6DAC">
      <w:pPr>
        <w:rPr>
          <w:rFonts w:ascii="Arial Black" w:hAnsi="Arial Black"/>
          <w:b/>
          <w:szCs w:val="22"/>
        </w:rPr>
      </w:pPr>
      <w:r w:rsidRPr="004B6DAC">
        <w:rPr>
          <w:rFonts w:ascii="Arial Black" w:hAnsi="Arial Black"/>
          <w:b/>
          <w:szCs w:val="22"/>
        </w:rPr>
        <w:t>Familiennachzug durch Pers</w:t>
      </w:r>
      <w:r w:rsidR="000571C7">
        <w:rPr>
          <w:rFonts w:ascii="Arial Black" w:hAnsi="Arial Black"/>
          <w:b/>
          <w:szCs w:val="22"/>
        </w:rPr>
        <w:t xml:space="preserve">onen mit einer </w:t>
      </w:r>
      <w:r w:rsidR="000362D7">
        <w:rPr>
          <w:rFonts w:ascii="Arial Black" w:hAnsi="Arial Black"/>
          <w:b/>
          <w:szCs w:val="22"/>
        </w:rPr>
        <w:t>Kurza</w:t>
      </w:r>
      <w:r w:rsidR="000571C7" w:rsidRPr="004B6DAC">
        <w:rPr>
          <w:rFonts w:ascii="Arial Black" w:hAnsi="Arial Black"/>
          <w:b/>
          <w:szCs w:val="22"/>
        </w:rPr>
        <w:t xml:space="preserve">ufenthaltsbewilligung </w:t>
      </w:r>
      <w:r w:rsidR="008D2E78">
        <w:rPr>
          <w:rFonts w:ascii="Arial Black" w:hAnsi="Arial Black"/>
          <w:b/>
          <w:szCs w:val="22"/>
        </w:rPr>
        <w:br/>
      </w:r>
      <w:r w:rsidR="000362D7">
        <w:rPr>
          <w:rFonts w:ascii="Arial Black" w:hAnsi="Arial Black"/>
          <w:b/>
          <w:szCs w:val="22"/>
        </w:rPr>
        <w:t>(L</w:t>
      </w:r>
      <w:r w:rsidR="000571C7">
        <w:rPr>
          <w:rFonts w:ascii="Arial Black" w:hAnsi="Arial Black"/>
          <w:b/>
          <w:szCs w:val="22"/>
        </w:rPr>
        <w:t>-Bewilligung</w:t>
      </w:r>
      <w:r w:rsidR="000571C7" w:rsidRPr="004B6DAC">
        <w:rPr>
          <w:rFonts w:ascii="Arial Black" w:hAnsi="Arial Black"/>
          <w:b/>
          <w:szCs w:val="22"/>
        </w:rPr>
        <w:t xml:space="preserve">) </w:t>
      </w:r>
    </w:p>
    <w:p w14:paraId="159F9E3A" w14:textId="77777777" w:rsidR="000571C7" w:rsidRDefault="000571C7" w:rsidP="004B6DAC">
      <w:pPr>
        <w:rPr>
          <w:rFonts w:ascii="Arial Black" w:hAnsi="Arial Black"/>
          <w:b/>
          <w:szCs w:val="22"/>
        </w:rPr>
      </w:pPr>
    </w:p>
    <w:p w14:paraId="2785C4A1" w14:textId="77777777" w:rsidR="000571C7" w:rsidRPr="0093468B" w:rsidRDefault="000571C7" w:rsidP="000571C7">
      <w:pPr>
        <w:rPr>
          <w:sz w:val="20"/>
        </w:rPr>
      </w:pPr>
      <w:r>
        <w:rPr>
          <w:sz w:val="20"/>
        </w:rPr>
        <w:t xml:space="preserve">Hinweis: </w:t>
      </w:r>
      <w:r w:rsidRPr="0093468B">
        <w:rPr>
          <w:sz w:val="20"/>
        </w:rPr>
        <w:t xml:space="preserve">Dieses Merkblatt gilt nur für Personen mit einer </w:t>
      </w:r>
      <w:r w:rsidR="006E62B5">
        <w:rPr>
          <w:sz w:val="20"/>
        </w:rPr>
        <w:t>Kurzaufenthaltsbewilligung</w:t>
      </w:r>
      <w:r w:rsidRPr="0093468B">
        <w:rPr>
          <w:sz w:val="20"/>
        </w:rPr>
        <w:t xml:space="preserve">, welche nicht Staatsangehörige eines EU-/EFTA-Staates sind. </w:t>
      </w:r>
      <w:r>
        <w:rPr>
          <w:sz w:val="20"/>
        </w:rPr>
        <w:t>EU-/EFTA-Staatsangehörige konsultieren bitte das Merkblatt "Familiennachzug durch EU-/EFTA-Staatsangehörige".</w:t>
      </w:r>
    </w:p>
    <w:p w14:paraId="51D52440" w14:textId="77777777" w:rsidR="004B6DAC" w:rsidRPr="004B6DAC" w:rsidRDefault="004B6DAC" w:rsidP="004B6DAC">
      <w:pPr>
        <w:rPr>
          <w:b/>
          <w:sz w:val="28"/>
          <w:szCs w:val="28"/>
        </w:rPr>
      </w:pPr>
    </w:p>
    <w:p w14:paraId="78DC7F94" w14:textId="77777777" w:rsidR="00482D00" w:rsidRDefault="00482D00" w:rsidP="00482D00">
      <w:pPr>
        <w:tabs>
          <w:tab w:val="left" w:pos="426"/>
        </w:tabs>
        <w:rPr>
          <w:b/>
          <w:szCs w:val="22"/>
        </w:rPr>
      </w:pPr>
      <w:r>
        <w:rPr>
          <w:b/>
          <w:szCs w:val="22"/>
        </w:rPr>
        <w:t>1. Rechtliche Grundlagen</w:t>
      </w:r>
    </w:p>
    <w:p w14:paraId="3E174E7F" w14:textId="77777777" w:rsidR="00482D00" w:rsidRPr="00DA1554" w:rsidRDefault="00482D00" w:rsidP="00482D00">
      <w:pPr>
        <w:tabs>
          <w:tab w:val="left" w:pos="426"/>
        </w:tabs>
        <w:rPr>
          <w:sz w:val="20"/>
        </w:rPr>
      </w:pPr>
      <w:r>
        <w:rPr>
          <w:sz w:val="20"/>
        </w:rPr>
        <w:t>Art. 45</w:t>
      </w:r>
      <w:r w:rsidRPr="00EC4FF4">
        <w:rPr>
          <w:sz w:val="20"/>
        </w:rPr>
        <w:t xml:space="preserve"> des Bundesgesetzes über die Ausländerinnen und Ausländer und über die In</w:t>
      </w:r>
      <w:r>
        <w:rPr>
          <w:sz w:val="20"/>
        </w:rPr>
        <w:t>tegration vom 16. </w:t>
      </w:r>
      <w:r w:rsidRPr="00EC4FF4">
        <w:rPr>
          <w:sz w:val="20"/>
        </w:rPr>
        <w:t>Dezember 2005 (AIG, SR 142.20)</w:t>
      </w:r>
      <w:r w:rsidR="00B617F1">
        <w:rPr>
          <w:sz w:val="20"/>
        </w:rPr>
        <w:t>, Art. 52 AIG</w:t>
      </w:r>
      <w:r>
        <w:rPr>
          <w:sz w:val="20"/>
        </w:rPr>
        <w:t xml:space="preserve">, Art. 62 AIG, </w:t>
      </w:r>
      <w:r w:rsidR="00A86A99">
        <w:rPr>
          <w:sz w:val="20"/>
        </w:rPr>
        <w:t>Art. 96 AIG</w:t>
      </w:r>
    </w:p>
    <w:p w14:paraId="1F2B302F" w14:textId="77777777" w:rsidR="00482D00" w:rsidRDefault="00482D00" w:rsidP="000571C7">
      <w:pPr>
        <w:tabs>
          <w:tab w:val="left" w:pos="426"/>
        </w:tabs>
        <w:rPr>
          <w:b/>
          <w:szCs w:val="22"/>
        </w:rPr>
      </w:pPr>
    </w:p>
    <w:p w14:paraId="56E450F1" w14:textId="77777777" w:rsidR="004B6DAC" w:rsidRPr="004B6DAC" w:rsidRDefault="00482D00" w:rsidP="000571C7">
      <w:pPr>
        <w:tabs>
          <w:tab w:val="left" w:pos="426"/>
        </w:tabs>
        <w:rPr>
          <w:b/>
          <w:szCs w:val="22"/>
        </w:rPr>
      </w:pPr>
      <w:r>
        <w:rPr>
          <w:b/>
          <w:szCs w:val="22"/>
        </w:rPr>
        <w:t>2</w:t>
      </w:r>
      <w:r w:rsidR="000571C7">
        <w:rPr>
          <w:b/>
          <w:szCs w:val="22"/>
        </w:rPr>
        <w:t>.</w:t>
      </w:r>
      <w:r w:rsidR="000571C7">
        <w:rPr>
          <w:b/>
          <w:szCs w:val="22"/>
        </w:rPr>
        <w:tab/>
      </w:r>
      <w:r w:rsidR="004B6DAC" w:rsidRPr="004B6DAC">
        <w:rPr>
          <w:b/>
          <w:szCs w:val="22"/>
        </w:rPr>
        <w:t>Personenkreis</w:t>
      </w:r>
    </w:p>
    <w:p w14:paraId="10020D8A" w14:textId="77777777" w:rsidR="004B6DAC" w:rsidRPr="004B6DAC" w:rsidRDefault="004B6DAC" w:rsidP="004B6DAC">
      <w:pPr>
        <w:rPr>
          <w:sz w:val="20"/>
        </w:rPr>
      </w:pPr>
      <w:r w:rsidRPr="004B6DAC">
        <w:rPr>
          <w:sz w:val="20"/>
        </w:rPr>
        <w:t>Folgende Personen können nachgezogen werden:</w:t>
      </w:r>
    </w:p>
    <w:p w14:paraId="39CE0E65" w14:textId="77777777" w:rsidR="004B6DAC" w:rsidRPr="004B6DAC" w:rsidRDefault="000571C7" w:rsidP="004B6DAC">
      <w:pPr>
        <w:rPr>
          <w:sz w:val="20"/>
        </w:rPr>
      </w:pPr>
      <w:r>
        <w:rPr>
          <w:sz w:val="20"/>
        </w:rPr>
        <w:t>- Ehegattin</w:t>
      </w:r>
      <w:r w:rsidR="004B6DAC" w:rsidRPr="004B6DAC">
        <w:rPr>
          <w:sz w:val="20"/>
        </w:rPr>
        <w:t>/Ehegatte bzw. eingetragene Partnerin/eingetragener Partner</w:t>
      </w:r>
    </w:p>
    <w:p w14:paraId="310B196D" w14:textId="77777777" w:rsidR="004B6DAC" w:rsidRPr="004B6DAC" w:rsidRDefault="004B6DAC" w:rsidP="004B6DAC">
      <w:pPr>
        <w:rPr>
          <w:sz w:val="20"/>
        </w:rPr>
      </w:pPr>
      <w:r w:rsidRPr="004B6DAC">
        <w:rPr>
          <w:sz w:val="20"/>
        </w:rPr>
        <w:t xml:space="preserve">- Ledige Kinder </w:t>
      </w:r>
      <w:r w:rsidR="000571C7">
        <w:rPr>
          <w:sz w:val="20"/>
        </w:rPr>
        <w:t>unter</w:t>
      </w:r>
      <w:r w:rsidRPr="004B6DAC">
        <w:rPr>
          <w:sz w:val="20"/>
        </w:rPr>
        <w:t xml:space="preserve"> 1</w:t>
      </w:r>
      <w:r w:rsidR="000571C7">
        <w:rPr>
          <w:sz w:val="20"/>
        </w:rPr>
        <w:t>8</w:t>
      </w:r>
      <w:r w:rsidRPr="004B6DAC">
        <w:rPr>
          <w:sz w:val="20"/>
        </w:rPr>
        <w:t xml:space="preserve"> Jahre</w:t>
      </w:r>
      <w:r w:rsidR="000571C7">
        <w:rPr>
          <w:sz w:val="20"/>
        </w:rPr>
        <w:t>n</w:t>
      </w:r>
      <w:r w:rsidRPr="004B6DAC">
        <w:rPr>
          <w:sz w:val="20"/>
        </w:rPr>
        <w:t xml:space="preserve"> </w:t>
      </w:r>
      <w:r w:rsidR="000571C7">
        <w:rPr>
          <w:sz w:val="20"/>
        </w:rPr>
        <w:t>(gemäss kantonaler Praxis nur Kinder unter 14 Jahren)</w:t>
      </w:r>
    </w:p>
    <w:p w14:paraId="11DB312F" w14:textId="77777777" w:rsidR="004B6DAC" w:rsidRPr="004B6DAC" w:rsidRDefault="004B6DAC" w:rsidP="004B6DAC">
      <w:pPr>
        <w:rPr>
          <w:sz w:val="20"/>
        </w:rPr>
      </w:pPr>
    </w:p>
    <w:p w14:paraId="20FA8F99" w14:textId="77777777" w:rsidR="004B6DAC" w:rsidRPr="000571C7" w:rsidRDefault="00482D00" w:rsidP="000571C7">
      <w:pPr>
        <w:tabs>
          <w:tab w:val="left" w:pos="426"/>
        </w:tabs>
        <w:rPr>
          <w:b/>
          <w:szCs w:val="22"/>
        </w:rPr>
      </w:pPr>
      <w:r>
        <w:rPr>
          <w:b/>
          <w:szCs w:val="22"/>
        </w:rPr>
        <w:t>3</w:t>
      </w:r>
      <w:r w:rsidR="000571C7">
        <w:rPr>
          <w:b/>
          <w:szCs w:val="22"/>
        </w:rPr>
        <w:t>.</w:t>
      </w:r>
      <w:r w:rsidR="000571C7">
        <w:rPr>
          <w:b/>
          <w:szCs w:val="22"/>
        </w:rPr>
        <w:tab/>
      </w:r>
      <w:r w:rsidR="004B6DAC" w:rsidRPr="000571C7">
        <w:rPr>
          <w:b/>
          <w:szCs w:val="22"/>
        </w:rPr>
        <w:t>Anspruchsberechtigung</w:t>
      </w:r>
    </w:p>
    <w:p w14:paraId="4763AAE9" w14:textId="77777777" w:rsidR="004B6DAC" w:rsidRPr="004B6DAC" w:rsidRDefault="004B6DAC" w:rsidP="004B6DAC">
      <w:pPr>
        <w:rPr>
          <w:sz w:val="20"/>
        </w:rPr>
      </w:pPr>
      <w:r w:rsidRPr="004B6DAC">
        <w:rPr>
          <w:sz w:val="20"/>
        </w:rPr>
        <w:t>Die Ehegattin/der Ehegatte bzw. die eingetragene Partnerin/der eingetragene Partner und die Kinder von Personen aus N</w:t>
      </w:r>
      <w:r w:rsidR="006E62B5">
        <w:rPr>
          <w:sz w:val="20"/>
        </w:rPr>
        <w:t>icht-EU/EFTA-Staaten mit einer Kurza</w:t>
      </w:r>
      <w:r w:rsidRPr="004B6DAC">
        <w:rPr>
          <w:sz w:val="20"/>
        </w:rPr>
        <w:t>ufenthaltsbewilligung haben keinen rechtlichen Anspruch auf die Erteilung einer Bewilligung.</w:t>
      </w:r>
      <w:r w:rsidR="000571C7">
        <w:rPr>
          <w:sz w:val="20"/>
        </w:rPr>
        <w:t xml:space="preserve"> Das Amt für Migration entscheidet nach Ermessen.</w:t>
      </w:r>
    </w:p>
    <w:p w14:paraId="55A08DAD" w14:textId="77777777" w:rsidR="004B6DAC" w:rsidRPr="004B6DAC" w:rsidRDefault="004B6DAC" w:rsidP="004B6DAC">
      <w:pPr>
        <w:rPr>
          <w:sz w:val="20"/>
        </w:rPr>
      </w:pPr>
    </w:p>
    <w:p w14:paraId="0B68084F" w14:textId="77777777" w:rsidR="000571C7" w:rsidRPr="006E62B5" w:rsidRDefault="00482D00" w:rsidP="000571C7">
      <w:pPr>
        <w:tabs>
          <w:tab w:val="left" w:pos="426"/>
        </w:tabs>
        <w:rPr>
          <w:b/>
          <w:szCs w:val="22"/>
        </w:rPr>
      </w:pPr>
      <w:r>
        <w:rPr>
          <w:b/>
          <w:szCs w:val="22"/>
        </w:rPr>
        <w:t>4</w:t>
      </w:r>
      <w:r w:rsidR="000571C7">
        <w:rPr>
          <w:b/>
          <w:szCs w:val="22"/>
        </w:rPr>
        <w:t>.</w:t>
      </w:r>
      <w:r w:rsidR="000571C7">
        <w:rPr>
          <w:b/>
          <w:szCs w:val="22"/>
        </w:rPr>
        <w:tab/>
      </w:r>
      <w:r w:rsidR="004B6DAC" w:rsidRPr="004B6DAC">
        <w:rPr>
          <w:b/>
          <w:szCs w:val="22"/>
        </w:rPr>
        <w:t>Voraussetzungen</w:t>
      </w:r>
    </w:p>
    <w:p w14:paraId="311365BD" w14:textId="77777777" w:rsidR="00EB6597" w:rsidRPr="000E2F30" w:rsidRDefault="00482D00" w:rsidP="00EB6597">
      <w:pPr>
        <w:tabs>
          <w:tab w:val="left" w:pos="426"/>
        </w:tabs>
        <w:rPr>
          <w:b/>
          <w:szCs w:val="22"/>
        </w:rPr>
      </w:pPr>
      <w:r>
        <w:rPr>
          <w:b/>
          <w:szCs w:val="22"/>
        </w:rPr>
        <w:t>4</w:t>
      </w:r>
      <w:r w:rsidR="006E62B5">
        <w:rPr>
          <w:b/>
          <w:szCs w:val="22"/>
        </w:rPr>
        <w:t>.1</w:t>
      </w:r>
      <w:r w:rsidR="00EB6597">
        <w:rPr>
          <w:b/>
          <w:szCs w:val="22"/>
        </w:rPr>
        <w:t>.</w:t>
      </w:r>
      <w:r w:rsidR="00EB6597">
        <w:rPr>
          <w:b/>
          <w:szCs w:val="22"/>
        </w:rPr>
        <w:tab/>
      </w:r>
      <w:r w:rsidR="00EB6597" w:rsidRPr="000E2F30">
        <w:rPr>
          <w:b/>
          <w:szCs w:val="22"/>
        </w:rPr>
        <w:t>Gemeinsame Wohnung</w:t>
      </w:r>
    </w:p>
    <w:p w14:paraId="5032CF7D" w14:textId="057418CB" w:rsidR="004B6DAC" w:rsidRDefault="00EB6597" w:rsidP="00EB6597">
      <w:pPr>
        <w:rPr>
          <w:sz w:val="20"/>
        </w:rPr>
      </w:pPr>
      <w:r w:rsidRPr="000E2F30">
        <w:rPr>
          <w:sz w:val="20"/>
        </w:rPr>
        <w:t>Es muss eine Wohnung vorhanden sein, welche die Gesamtfamilie tatsächlich beherbergen kann. Gemäss Praxis des Kantons Luzern gilt eine Wohnung dann als angemessen, wenn die Zahl der Familienmitglieder minus 1 der Zimmeranzahl entspricht.</w:t>
      </w:r>
      <w:r w:rsidR="00765C0D">
        <w:rPr>
          <w:sz w:val="20"/>
        </w:rPr>
        <w:t xml:space="preserve"> </w:t>
      </w:r>
    </w:p>
    <w:p w14:paraId="484EC15B" w14:textId="77777777" w:rsidR="00EB6597" w:rsidRPr="004B6DAC" w:rsidRDefault="00EB6597" w:rsidP="00EB6597">
      <w:pPr>
        <w:rPr>
          <w:sz w:val="20"/>
        </w:rPr>
      </w:pPr>
    </w:p>
    <w:p w14:paraId="105C9CD3" w14:textId="77777777" w:rsidR="004B6DAC" w:rsidRDefault="00482D00" w:rsidP="00EB6597">
      <w:pPr>
        <w:tabs>
          <w:tab w:val="left" w:pos="426"/>
        </w:tabs>
        <w:rPr>
          <w:b/>
          <w:szCs w:val="22"/>
        </w:rPr>
      </w:pPr>
      <w:r>
        <w:rPr>
          <w:b/>
          <w:szCs w:val="22"/>
        </w:rPr>
        <w:t>4</w:t>
      </w:r>
      <w:r w:rsidR="006E62B5">
        <w:rPr>
          <w:b/>
          <w:szCs w:val="22"/>
        </w:rPr>
        <w:t>.2</w:t>
      </w:r>
      <w:r w:rsidR="00EB6597">
        <w:rPr>
          <w:b/>
          <w:szCs w:val="22"/>
        </w:rPr>
        <w:t>.</w:t>
      </w:r>
      <w:r w:rsidR="00EB6597">
        <w:rPr>
          <w:b/>
          <w:szCs w:val="22"/>
        </w:rPr>
        <w:tab/>
        <w:t>Erforderliche finanzielle Mittel</w:t>
      </w:r>
    </w:p>
    <w:p w14:paraId="4BF8F92F" w14:textId="77777777" w:rsidR="00EB6597" w:rsidRDefault="00EB6597" w:rsidP="00EB6597">
      <w:pPr>
        <w:tabs>
          <w:tab w:val="left" w:pos="426"/>
        </w:tabs>
        <w:rPr>
          <w:sz w:val="20"/>
        </w:rPr>
      </w:pPr>
      <w:r>
        <w:rPr>
          <w:sz w:val="20"/>
        </w:rPr>
        <w:t>Grundsätzlich muss die gesuchs</w:t>
      </w:r>
      <w:r w:rsidRPr="004B6DAC">
        <w:rPr>
          <w:sz w:val="20"/>
        </w:rPr>
        <w:t>tellende Person selbst über genügend finanzielle Mittel für den Lebensunterhalt verfügen. Das erzielte Einkommen muss den Unte</w:t>
      </w:r>
      <w:r>
        <w:rPr>
          <w:sz w:val="20"/>
        </w:rPr>
        <w:t>rhalt der ganzen Familie decken. Der Familiennachzug darf nicht dazu führen, dass die Familie wirtschaftliche Sozialhilfe oder Ergänzungsleistungen beziehen könnte bzw. müsste.</w:t>
      </w:r>
    </w:p>
    <w:p w14:paraId="297C5233" w14:textId="77777777" w:rsidR="00EB6597" w:rsidRPr="004B6DAC" w:rsidRDefault="00EB6597" w:rsidP="00EB6597">
      <w:pPr>
        <w:tabs>
          <w:tab w:val="left" w:pos="426"/>
        </w:tabs>
        <w:rPr>
          <w:sz w:val="20"/>
        </w:rPr>
      </w:pPr>
    </w:p>
    <w:p w14:paraId="216A2501" w14:textId="77777777" w:rsidR="004B6DAC" w:rsidRPr="004B6DAC" w:rsidRDefault="00482D00" w:rsidP="004B6DAC">
      <w:pPr>
        <w:rPr>
          <w:b/>
          <w:szCs w:val="22"/>
        </w:rPr>
      </w:pPr>
      <w:r>
        <w:rPr>
          <w:b/>
          <w:szCs w:val="22"/>
        </w:rPr>
        <w:t>5</w:t>
      </w:r>
      <w:r w:rsidR="004B6DAC" w:rsidRPr="004B6DAC">
        <w:rPr>
          <w:b/>
          <w:szCs w:val="22"/>
        </w:rPr>
        <w:t>. Vorgehen</w:t>
      </w:r>
    </w:p>
    <w:p w14:paraId="001A4CDE" w14:textId="587C742C" w:rsidR="00EB6597" w:rsidRDefault="00CC2950" w:rsidP="00EB6597">
      <w:pPr>
        <w:rPr>
          <w:sz w:val="20"/>
        </w:rPr>
      </w:pPr>
      <w:hyperlink r:id="rId7" w:history="1">
        <w:r w:rsidRPr="00CC2950">
          <w:rPr>
            <w:rStyle w:val="Hyperlink"/>
            <w:sz w:val="20"/>
          </w:rPr>
          <w:t>Onlineformular</w:t>
        </w:r>
      </w:hyperlink>
      <w:r>
        <w:rPr>
          <w:sz w:val="20"/>
        </w:rPr>
        <w:t xml:space="preserve"> oder u</w:t>
      </w:r>
      <w:r w:rsidR="00EB6597" w:rsidRPr="009F28D5">
        <w:rPr>
          <w:sz w:val="20"/>
        </w:rPr>
        <w:t xml:space="preserve">nterschriebenes </w:t>
      </w:r>
      <w:hyperlink r:id="rId8" w:history="1">
        <w:proofErr w:type="spellStart"/>
        <w:r w:rsidR="00EB6597" w:rsidRPr="00CC2950">
          <w:rPr>
            <w:rStyle w:val="Hyperlink"/>
            <w:sz w:val="20"/>
          </w:rPr>
          <w:t>Gesuchsformular</w:t>
        </w:r>
        <w:proofErr w:type="spellEnd"/>
        <w:r w:rsidR="00EB6597" w:rsidRPr="00CC2950">
          <w:rPr>
            <w:rStyle w:val="Hyperlink"/>
            <w:sz w:val="20"/>
          </w:rPr>
          <w:t xml:space="preserve"> 3</w:t>
        </w:r>
      </w:hyperlink>
      <w:r w:rsidR="00EB6597" w:rsidRPr="009F28D5">
        <w:rPr>
          <w:sz w:val="20"/>
        </w:rPr>
        <w:t xml:space="preserve"> vollständig ausgefüllt und mit allen darauf erwähnten Beilagen</w:t>
      </w:r>
      <w:r w:rsidR="009620DB">
        <w:rPr>
          <w:sz w:val="20"/>
        </w:rPr>
        <w:t xml:space="preserve">, </w:t>
      </w:r>
      <w:r w:rsidR="009620DB">
        <w:rPr>
          <w:b/>
          <w:sz w:val="20"/>
        </w:rPr>
        <w:t>in Kopie</w:t>
      </w:r>
      <w:r w:rsidR="009620DB">
        <w:rPr>
          <w:sz w:val="20"/>
        </w:rPr>
        <w:t>,</w:t>
      </w:r>
      <w:r w:rsidR="00EB6597" w:rsidRPr="009F28D5">
        <w:rPr>
          <w:sz w:val="20"/>
        </w:rPr>
        <w:t xml:space="preserve"> beim Amt für Migration einreichen.</w:t>
      </w:r>
    </w:p>
    <w:p w14:paraId="0C03884A" w14:textId="77777777" w:rsidR="00EB6597" w:rsidRDefault="00EB6597" w:rsidP="00EB6597">
      <w:pPr>
        <w:rPr>
          <w:sz w:val="20"/>
        </w:rPr>
      </w:pPr>
    </w:p>
    <w:p w14:paraId="7E9035BA" w14:textId="77777777" w:rsidR="005239CB" w:rsidRDefault="005239CB" w:rsidP="005239CB">
      <w:pPr>
        <w:rPr>
          <w:sz w:val="20"/>
        </w:rPr>
      </w:pPr>
      <w:r w:rsidRPr="009F28D5">
        <w:rPr>
          <w:sz w:val="20"/>
        </w:rPr>
        <w:t>Familienangehörige, welche nicht EU/EFTA-Staatsangehörige sind, haben zusätzlich ein persönliches Einreisegesuch (Gesuch um Erteilung eines Visums Typ D) auf der zuständigen Schweizer Vertretung im Ausland einzureichen und den Ausgang des Verfahrens im Ausland abzuwarten</w:t>
      </w:r>
      <w:r>
        <w:rPr>
          <w:sz w:val="20"/>
        </w:rPr>
        <w:t xml:space="preserve"> (mit Ausnahme von Staatsangehörigen von Australien, Brunei, Grossbritannien, Japan, Malaysia, Neuseeland und Singapur)</w:t>
      </w:r>
      <w:r w:rsidRPr="009F28D5">
        <w:rPr>
          <w:sz w:val="20"/>
        </w:rPr>
        <w:t>. Dem persönlichen Einreisegesuch ist ein heimatlicher Strafregisterauszug im Original mit deutscher Übersetzung und Apostille beizulegen.</w:t>
      </w:r>
      <w:r>
        <w:rPr>
          <w:sz w:val="20"/>
        </w:rPr>
        <w:t xml:space="preserve"> </w:t>
      </w:r>
    </w:p>
    <w:p w14:paraId="7D6A2DA6" w14:textId="77777777" w:rsidR="005239CB" w:rsidRDefault="005239CB" w:rsidP="005239CB">
      <w:pPr>
        <w:rPr>
          <w:sz w:val="20"/>
        </w:rPr>
      </w:pPr>
    </w:p>
    <w:p w14:paraId="6D662B6B" w14:textId="77777777" w:rsidR="005239CB" w:rsidRPr="009F28D5" w:rsidRDefault="005239CB" w:rsidP="005239CB">
      <w:pPr>
        <w:rPr>
          <w:sz w:val="20"/>
        </w:rPr>
      </w:pPr>
      <w:r>
        <w:rPr>
          <w:sz w:val="20"/>
        </w:rPr>
        <w:t xml:space="preserve">Familienangehörige, welche im Zeitpunkt der Einreise in die Schweiz über eine gültige Aufenthaltsbewilligung oder ein gültiges Visum eines Mitgliedstaats des Schengener Übereinkommens verfügen, müssen kein persönliches Einreisegesuch </w:t>
      </w:r>
      <w:r w:rsidRPr="009F28D5">
        <w:rPr>
          <w:sz w:val="20"/>
        </w:rPr>
        <w:t>(Gesuch um Erteilung eines Visums Typ D)</w:t>
      </w:r>
      <w:r>
        <w:rPr>
          <w:sz w:val="20"/>
        </w:rPr>
        <w:t xml:space="preserve"> einreichen. </w:t>
      </w:r>
    </w:p>
    <w:p w14:paraId="039C9A4A" w14:textId="77777777" w:rsidR="005239CB" w:rsidRDefault="005239CB">
      <w:pPr>
        <w:rPr>
          <w:sz w:val="20"/>
        </w:rPr>
      </w:pPr>
      <w:r>
        <w:rPr>
          <w:sz w:val="20"/>
        </w:rPr>
        <w:br w:type="page"/>
      </w:r>
    </w:p>
    <w:p w14:paraId="29D7CA72" w14:textId="77777777" w:rsidR="00EB6597" w:rsidRDefault="00EB6597" w:rsidP="00EB6597">
      <w:pPr>
        <w:rPr>
          <w:sz w:val="20"/>
        </w:rPr>
      </w:pPr>
    </w:p>
    <w:p w14:paraId="567E4EC8" w14:textId="77777777" w:rsidR="00EB6597" w:rsidRDefault="00EB6597" w:rsidP="00EB6597">
      <w:pPr>
        <w:rPr>
          <w:sz w:val="20"/>
        </w:rPr>
      </w:pPr>
      <w:r>
        <w:rPr>
          <w:sz w:val="20"/>
        </w:rPr>
        <w:t xml:space="preserve">Zusätzlich zu den auf </w:t>
      </w:r>
      <w:proofErr w:type="spellStart"/>
      <w:r>
        <w:rPr>
          <w:sz w:val="20"/>
        </w:rPr>
        <w:t>Gesuchsformular</w:t>
      </w:r>
      <w:proofErr w:type="spellEnd"/>
      <w:r>
        <w:rPr>
          <w:sz w:val="20"/>
        </w:rPr>
        <w:t xml:space="preserve"> 3 erwähnten Beilagen sind folgende Unterlagen einzureichen:</w:t>
      </w:r>
    </w:p>
    <w:p w14:paraId="46A1208E" w14:textId="77777777" w:rsidR="00EB6597" w:rsidRDefault="00EB6597" w:rsidP="00EB6597">
      <w:pPr>
        <w:tabs>
          <w:tab w:val="left" w:pos="284"/>
        </w:tabs>
        <w:ind w:left="284" w:hanging="284"/>
        <w:rPr>
          <w:rFonts w:cs="Arial"/>
          <w:sz w:val="20"/>
        </w:rPr>
      </w:pPr>
      <w:r>
        <w:rPr>
          <w:rFonts w:cs="Arial"/>
          <w:sz w:val="20"/>
        </w:rPr>
        <w:t>-</w:t>
      </w:r>
      <w:r>
        <w:rPr>
          <w:rFonts w:cs="Arial"/>
          <w:sz w:val="20"/>
        </w:rPr>
        <w:tab/>
        <w:t>Kopie Mietvertrag Garage/Autoabstellplatz (falls vorhanden)</w:t>
      </w:r>
    </w:p>
    <w:p w14:paraId="2E6AAF85" w14:textId="77777777" w:rsidR="00EB6597" w:rsidRDefault="00EB6597" w:rsidP="00EB6597">
      <w:pPr>
        <w:tabs>
          <w:tab w:val="left" w:pos="284"/>
        </w:tabs>
        <w:ind w:left="284" w:hanging="284"/>
        <w:rPr>
          <w:rFonts w:cs="Arial"/>
          <w:sz w:val="20"/>
        </w:rPr>
      </w:pPr>
      <w:r>
        <w:rPr>
          <w:rFonts w:cs="Arial"/>
          <w:sz w:val="20"/>
        </w:rPr>
        <w:t>-</w:t>
      </w:r>
      <w:r>
        <w:rPr>
          <w:rFonts w:cs="Arial"/>
          <w:sz w:val="20"/>
        </w:rPr>
        <w:tab/>
        <w:t>Bestätigung sämtlicher Arbeitgeber, ob das Arbeitsverhältnis nach wie vor unbefristet und ungekündigt ist, alle aktuell gültigen Arbeitsverträge und einzelne Lohnabrechnungen der letzten 12 Monate mit Stempel und Unterschrift des Arbeitgebers (inkl. 13. Monatslohn bzw</w:t>
      </w:r>
      <w:r w:rsidR="006E62B5">
        <w:rPr>
          <w:rFonts w:cs="Arial"/>
          <w:sz w:val="20"/>
        </w:rPr>
        <w:t>. Gratifikation und Feriengeld)</w:t>
      </w:r>
    </w:p>
    <w:p w14:paraId="4DDC432E" w14:textId="77777777" w:rsidR="00EB6597" w:rsidRDefault="00EB6597" w:rsidP="00EB6597">
      <w:pPr>
        <w:tabs>
          <w:tab w:val="left" w:pos="284"/>
        </w:tabs>
        <w:ind w:left="284" w:hanging="284"/>
        <w:rPr>
          <w:rFonts w:cs="Arial"/>
          <w:sz w:val="20"/>
        </w:rPr>
      </w:pPr>
      <w:r>
        <w:rPr>
          <w:rFonts w:cs="Arial"/>
          <w:sz w:val="20"/>
        </w:rPr>
        <w:t>-</w:t>
      </w:r>
      <w:r>
        <w:rPr>
          <w:rFonts w:cs="Arial"/>
          <w:sz w:val="20"/>
        </w:rPr>
        <w:tab/>
        <w:t>Kopie des aktuellen Rentenentscheids mit amtlicher deutscher Übersetzung (bei Rentnern)</w:t>
      </w:r>
    </w:p>
    <w:p w14:paraId="160A0897" w14:textId="77777777" w:rsidR="00EB6597" w:rsidRDefault="00EB6597" w:rsidP="00EB6597">
      <w:pPr>
        <w:tabs>
          <w:tab w:val="left" w:pos="284"/>
        </w:tabs>
        <w:ind w:left="284" w:hanging="284"/>
        <w:rPr>
          <w:rFonts w:cs="Arial"/>
          <w:sz w:val="20"/>
        </w:rPr>
      </w:pPr>
      <w:r>
        <w:rPr>
          <w:rFonts w:cs="Arial"/>
          <w:sz w:val="20"/>
        </w:rPr>
        <w:t>-</w:t>
      </w:r>
      <w:r>
        <w:rPr>
          <w:rFonts w:cs="Arial"/>
          <w:sz w:val="20"/>
        </w:rPr>
        <w:tab/>
        <w:t>Kopie der aktuellen Verfügung der Ausgleichskasse bezüglich Ergänzungsleistungen mit den entsprechenden Berechnungsblättern (wenn Ergänzungsleistungen bezogen werden)</w:t>
      </w:r>
    </w:p>
    <w:p w14:paraId="19F84A45" w14:textId="3AFEB598" w:rsidR="00EB6597" w:rsidRDefault="00EB6597" w:rsidP="00EB6597">
      <w:pPr>
        <w:tabs>
          <w:tab w:val="left" w:pos="284"/>
        </w:tabs>
        <w:ind w:left="284" w:hanging="284"/>
        <w:rPr>
          <w:rFonts w:cs="Arial"/>
          <w:sz w:val="20"/>
        </w:rPr>
      </w:pPr>
      <w:r>
        <w:rPr>
          <w:rFonts w:cs="Arial"/>
          <w:sz w:val="20"/>
        </w:rPr>
        <w:t>-</w:t>
      </w:r>
      <w:r>
        <w:rPr>
          <w:rFonts w:cs="Arial"/>
          <w:sz w:val="20"/>
        </w:rPr>
        <w:tab/>
        <w:t xml:space="preserve">Belege </w:t>
      </w:r>
      <w:r w:rsidR="00CC2950">
        <w:rPr>
          <w:rFonts w:cs="Arial"/>
          <w:sz w:val="20"/>
        </w:rPr>
        <w:t>betreffend übrige Einkünfte</w:t>
      </w:r>
      <w:r>
        <w:rPr>
          <w:rFonts w:cs="Arial"/>
          <w:sz w:val="20"/>
        </w:rPr>
        <w:t xml:space="preserve"> (z.B. aus Vermietung von Liegenschaften)</w:t>
      </w:r>
    </w:p>
    <w:p w14:paraId="6546027F" w14:textId="77777777" w:rsidR="00EB6597" w:rsidRDefault="00EB6597" w:rsidP="00EB6597">
      <w:pPr>
        <w:tabs>
          <w:tab w:val="left" w:pos="284"/>
        </w:tabs>
        <w:ind w:left="284" w:hanging="284"/>
        <w:rPr>
          <w:rFonts w:cs="Arial"/>
          <w:sz w:val="20"/>
        </w:rPr>
      </w:pPr>
      <w:r>
        <w:rPr>
          <w:rFonts w:cs="Arial"/>
          <w:sz w:val="20"/>
        </w:rPr>
        <w:t>-</w:t>
      </w:r>
      <w:r>
        <w:rPr>
          <w:rFonts w:cs="Arial"/>
          <w:sz w:val="20"/>
        </w:rPr>
        <w:tab/>
        <w:t>Vermögensnachweis (z.B. Auszug aus Bankkonten, Kaufverträge und Grundbuchauszüge von Liegenschaften etc.)</w:t>
      </w:r>
    </w:p>
    <w:p w14:paraId="49DA9C46" w14:textId="77777777" w:rsidR="00EB6597" w:rsidRDefault="00EB6597" w:rsidP="00EB6597">
      <w:pPr>
        <w:tabs>
          <w:tab w:val="left" w:pos="284"/>
        </w:tabs>
        <w:ind w:left="284" w:hanging="284"/>
        <w:rPr>
          <w:rFonts w:cs="Arial"/>
          <w:sz w:val="20"/>
        </w:rPr>
      </w:pPr>
      <w:r>
        <w:rPr>
          <w:rFonts w:cs="Arial"/>
          <w:sz w:val="20"/>
        </w:rPr>
        <w:t>-</w:t>
      </w:r>
      <w:r>
        <w:rPr>
          <w:rFonts w:cs="Arial"/>
          <w:sz w:val="20"/>
        </w:rPr>
        <w:tab/>
        <w:t>Auszüge aus ZEK &amp; IKO, anzufordern bei ZEK &amp; IKO, Postfach 1108, 8048 Zürich</w:t>
      </w:r>
    </w:p>
    <w:p w14:paraId="62AA16F9" w14:textId="77777777" w:rsidR="00EB6597" w:rsidRDefault="00EB6597" w:rsidP="00EB6597">
      <w:pPr>
        <w:tabs>
          <w:tab w:val="left" w:pos="284"/>
        </w:tabs>
        <w:ind w:left="284" w:hanging="284"/>
        <w:rPr>
          <w:rFonts w:cs="Arial"/>
          <w:sz w:val="20"/>
        </w:rPr>
      </w:pPr>
      <w:r>
        <w:rPr>
          <w:rFonts w:cs="Arial"/>
          <w:sz w:val="20"/>
        </w:rPr>
        <w:t>-</w:t>
      </w:r>
      <w:r>
        <w:rPr>
          <w:rFonts w:cs="Arial"/>
          <w:sz w:val="20"/>
        </w:rPr>
        <w:tab/>
        <w:t>Kopien sämtlicher Kredit-, Leasing- oder Teilzahlungsverträge (falls solche Verträge abgeschlossen wurden)</w:t>
      </w:r>
    </w:p>
    <w:p w14:paraId="32403DBA" w14:textId="77777777" w:rsidR="00EB6597" w:rsidRDefault="00EB6597" w:rsidP="00EB6597">
      <w:pPr>
        <w:tabs>
          <w:tab w:val="left" w:pos="284"/>
        </w:tabs>
        <w:ind w:left="284" w:hanging="284"/>
        <w:rPr>
          <w:rFonts w:cs="Arial"/>
          <w:sz w:val="20"/>
        </w:rPr>
      </w:pPr>
      <w:r>
        <w:rPr>
          <w:rFonts w:cs="Arial"/>
          <w:sz w:val="20"/>
        </w:rPr>
        <w:t>-</w:t>
      </w:r>
      <w:r>
        <w:rPr>
          <w:rFonts w:cs="Arial"/>
          <w:sz w:val="20"/>
        </w:rPr>
        <w:tab/>
        <w:t>Bestätigung des Sozialamtes über den Bezug oder Nicht-Bezug von Leistungen der wirtschaftlichen Sozialhilfe mit Angabe des Zeitraums und der Höhe der Unterstützungsleistung</w:t>
      </w:r>
    </w:p>
    <w:p w14:paraId="658CD84B" w14:textId="77777777" w:rsidR="00EB6597" w:rsidRDefault="00EB6597" w:rsidP="00EB6597">
      <w:pPr>
        <w:tabs>
          <w:tab w:val="left" w:pos="284"/>
        </w:tabs>
        <w:ind w:left="284" w:hanging="284"/>
        <w:rPr>
          <w:rFonts w:cs="Arial"/>
          <w:sz w:val="20"/>
        </w:rPr>
      </w:pPr>
      <w:r>
        <w:rPr>
          <w:rFonts w:cs="Arial"/>
          <w:sz w:val="20"/>
        </w:rPr>
        <w:t>-</w:t>
      </w:r>
      <w:r>
        <w:rPr>
          <w:rFonts w:cs="Arial"/>
          <w:sz w:val="20"/>
        </w:rPr>
        <w:tab/>
        <w:t>Betreibungsregisterauszug der letzten 5 Jahre</w:t>
      </w:r>
    </w:p>
    <w:p w14:paraId="67529946" w14:textId="77777777" w:rsidR="00EB6597" w:rsidRDefault="00EB6597" w:rsidP="00EB6597">
      <w:pPr>
        <w:tabs>
          <w:tab w:val="left" w:pos="284"/>
        </w:tabs>
        <w:ind w:left="284" w:hanging="284"/>
        <w:rPr>
          <w:rFonts w:cs="Arial"/>
          <w:sz w:val="20"/>
        </w:rPr>
      </w:pPr>
      <w:r>
        <w:rPr>
          <w:rFonts w:cs="Arial"/>
          <w:sz w:val="20"/>
        </w:rPr>
        <w:t>-</w:t>
      </w:r>
      <w:r>
        <w:rPr>
          <w:rFonts w:cs="Arial"/>
          <w:sz w:val="20"/>
        </w:rPr>
        <w:tab/>
        <w:t>Letzte definitive Steuerrechnung und Bestätigung des Steueramtes über die Steuerveranlagungen der letzten fünf Jahre</w:t>
      </w:r>
    </w:p>
    <w:p w14:paraId="66CEFF13" w14:textId="77777777" w:rsidR="00EB6597" w:rsidRPr="00C263FB" w:rsidRDefault="00EB6597" w:rsidP="00EB6597">
      <w:pPr>
        <w:tabs>
          <w:tab w:val="left" w:pos="284"/>
        </w:tabs>
        <w:ind w:left="284" w:hanging="284"/>
        <w:rPr>
          <w:rFonts w:cs="Arial"/>
          <w:sz w:val="20"/>
        </w:rPr>
      </w:pPr>
      <w:r>
        <w:rPr>
          <w:rFonts w:cs="Arial"/>
          <w:sz w:val="20"/>
        </w:rPr>
        <w:t>-</w:t>
      </w:r>
      <w:r>
        <w:rPr>
          <w:rFonts w:cs="Arial"/>
          <w:sz w:val="20"/>
        </w:rPr>
        <w:tab/>
        <w:t>Urteile betreffend Unterhaltsbeiträge mit deutscher Übersetzung und Apostille sowie Belege bezüglich Unterhaltszahlungen der letzten zwei Jahre (falls Unterhaltsbeiträge geleistet wurden)</w:t>
      </w:r>
    </w:p>
    <w:p w14:paraId="2E1C6447" w14:textId="77777777" w:rsidR="004B6DAC" w:rsidRPr="004B6DAC" w:rsidRDefault="004B6DAC" w:rsidP="00EB6597"/>
    <w:sectPr w:rsidR="004B6DAC" w:rsidRPr="004B6DAC" w:rsidSect="002752C1">
      <w:headerReference w:type="default" r:id="rId9"/>
      <w:headerReference w:type="first" r:id="rId10"/>
      <w:pgSz w:w="11906" w:h="16838" w:code="9"/>
      <w:pgMar w:top="1418" w:right="1134" w:bottom="851" w:left="1701"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45A2" w14:textId="77777777" w:rsidR="004C4BEE" w:rsidRDefault="004C4BEE">
      <w:r>
        <w:separator/>
      </w:r>
    </w:p>
  </w:endnote>
  <w:endnote w:type="continuationSeparator" w:id="0">
    <w:p w14:paraId="20F575FA" w14:textId="77777777" w:rsidR="004C4BEE" w:rsidRDefault="004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63D8" w14:textId="77777777" w:rsidR="004C4BEE" w:rsidRDefault="004C4BEE">
      <w:r>
        <w:separator/>
      </w:r>
    </w:p>
  </w:footnote>
  <w:footnote w:type="continuationSeparator" w:id="0">
    <w:p w14:paraId="1898F667" w14:textId="77777777" w:rsidR="004C4BEE" w:rsidRDefault="004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CFA0" w14:textId="77777777" w:rsidR="005A2EDD" w:rsidRDefault="008C5F94">
    <w:pPr>
      <w:pStyle w:val="Kopfzeile"/>
      <w:tabs>
        <w:tab w:val="clear" w:pos="4536"/>
      </w:tabs>
      <w:jc w:val="center"/>
    </w:pPr>
    <w:r>
      <w:t xml:space="preserve">- </w:t>
    </w:r>
    <w:r>
      <w:rPr>
        <w:rStyle w:val="Seitenzahl"/>
      </w:rPr>
      <w:fldChar w:fldCharType="begin"/>
    </w:r>
    <w:r>
      <w:rPr>
        <w:rStyle w:val="Seitenzahl"/>
      </w:rPr>
      <w:instrText xml:space="preserve"> PAGE </w:instrText>
    </w:r>
    <w:r>
      <w:rPr>
        <w:rStyle w:val="Seitenzahl"/>
      </w:rPr>
      <w:fldChar w:fldCharType="separate"/>
    </w:r>
    <w:r w:rsidR="005239CB">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3B62" w14:textId="0CB904B7" w:rsidR="005A2EDD" w:rsidRDefault="005A2EDD">
    <w:pPr>
      <w:pStyle w:val="Kopfzeile"/>
    </w:pPr>
  </w:p>
  <w:p w14:paraId="4C950507" w14:textId="77777777" w:rsidR="00F27AE8" w:rsidRPr="00F27AE8" w:rsidRDefault="00F27AE8">
    <w:pPr>
      <w:pStyle w:val="Kopfzeile"/>
      <w:rPr>
        <w:sz w:val="6"/>
        <w:szCs w:val="6"/>
      </w:rPr>
    </w:pPr>
  </w:p>
  <w:p w14:paraId="0BEEC300" w14:textId="4DC7C6F5" w:rsidR="005A2EDD" w:rsidRPr="003B55B1" w:rsidRDefault="005A2EDD">
    <w:pPr>
      <w:pStyle w:val="Kopfzeile"/>
      <w:rPr>
        <w:sz w:val="24"/>
        <w:szCs w:val="24"/>
      </w:rPr>
    </w:pPr>
    <w:r w:rsidRPr="005A2EDD">
      <w:rPr>
        <w:noProof/>
        <w:sz w:val="24"/>
        <w:szCs w:val="24"/>
      </w:rPr>
      <w:drawing>
        <wp:anchor distT="0" distB="0" distL="114300" distR="114300" simplePos="0" relativeHeight="251659264" behindDoc="1" locked="1" layoutInCell="1" allowOverlap="1" wp14:anchorId="04289566" wp14:editId="6426C0D1">
          <wp:simplePos x="0" y="0"/>
          <wp:positionH relativeFrom="page">
            <wp:posOffset>-13335</wp:posOffset>
          </wp:positionH>
          <wp:positionV relativeFrom="page">
            <wp:posOffset>2540</wp:posOffset>
          </wp:positionV>
          <wp:extent cx="7559675" cy="1259840"/>
          <wp:effectExtent l="0" t="0" r="0" b="0"/>
          <wp:wrapNone/>
          <wp:docPr id="1837192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1acd51-9ee4-4240-9e30-935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etaTool_CreatorGeko" w:val="6650"/>
    <w:docVar w:name="MetaTool_Table1_Path" w:val="Dokument"/>
    <w:docVar w:name="MetaTool_Table1_Report" w:val="&lt;?xml version=&quot;1.0&quot; encoding=&quot;utf-8&quot; standalone=&quot;yes&quot;?&gt;&lt;root type=&quot;PerpetuumSoft.Reporting.DOM.Document&quot; id=&quot;1&quot; version=&quot;2&quot; DocumentGuid=&quot;e14ce29e-738d-4ef4-9166-d2d2df55642c&quot; IsTemplate=&quot;true&quot; GridStep=&quot;59.055118560791016&quot; Name=&quot;Dokument&quot; ScriptLanguage=&quot;CSharp&quot; ImportsString=&quot;CMI.MetaTool.Generated&amp;#xD;&amp;#xA;CMI.DomainModel&amp;#xD;&amp;#xA;CMI.DomainModel.MappingInterfaces&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Pages type=&quot;PerpetuumSoft.Reporting.DOM.PageCollection&quot; id=&quot;25&quot;&gt;&lt;Item type=&quot;PerpetuumSoft.Reporting.DOM.Page&quot; id=&quot;26&quot; Location=&quot;0;0&quot; Margins=&quot;0; 0; 0; 0&quot; Name=&quot;Seite1&quot; Size=&quot;2480.3149606299212;3507.8740157480315&quot;&gt;&lt;Controls type=&quot;PerpetuumSoft.Reporting.DOM.ReportControlCollection&quot; id=&quot;27&quot;&gt;&lt;Item type=&quot;PerpetuumSoft.Reporting.DOM.DataBand&quot; id=&quot;28&quot; ColumnsGap=&quot;0&quot; Location=&quot;0;59.055118560791016&quot; Name=&quot;dataBandDokument&quot; Size=&quot;2480.3149606299212;118.11023712158203&quot; DataSource=&quot;Dokument&quot;&gt;&lt;DataBindings type=&quot;PerpetuumSoft.Reporting.DOM.ReportDataBindingCollection&quot; id=&quot;29&quot; /&gt;&lt;Sort type=&quot;PerpetuumSoft.Reporting.DOM.DataBandSortCollection&quot; id=&quot;30&quot; /&gt;&lt;Totals type=&quot;PerpetuumSoft.Reporting.DOM.DataBandTotalCollection&quot; id=&quot;31&quot; /&gt;&lt;Controls type=&quot;PerpetuumSoft.Reporting.DOM.ReportControlCollection&quot; id=&quot;32&quot;&gt;&lt;Item type=&quot;PerpetuumSoft.Reporting.DOM.Detail&quot; id=&quot;33&quot; Location=&quot;0;0&quot; CanBreak=&quot;true&quot; Size=&quot;2480.3149606299212;59.055118560791016&quot; Name=&quot;Detail&quot;&gt;&lt;Controls type=&quot;PerpetuumSoft.Reporting.DOM.ReportControlCollection&quot; id=&quot;34&quot;&gt;&lt;Item type=&quot;PerpetuumSoft.Reporting.DOM.TextBox&quot; id=&quot;35&quot; StyleName=&quot;Standard&quot; Location=&quot;0;0&quot; Name=&quot;textBox1&quot; Size=&quot;2480.31494140625;59.055118560791016&quot; GenerateScript=&quot;textBox1.Text = String.Empty;&amp;#xD;&amp;#xA;if (dataBandDokument[&amp;quot;Aktivitaeten&amp;quot;] != null)&amp;#xD;&amp;#xA;{&amp;#xD;&amp;#xA;  if (dataBandDokument[&amp;quot;Aktivitaeten.Geschaeft$Geschaeft.Signatur&amp;quot;] != null &amp;amp;&amp;amp; dataBandDokument[&amp;quot;Aktivitaeten.Geschaeft$Geschaeft.Signatur&amp;quot;] != &amp;quot;&amp;quot;)&amp;#xD;&amp;#xA;  {&amp;#xD;&amp;#xA;    textBox1.Text = dataBandDokument[&amp;quot;Aktivitaeten.Geschaeft$Geschaeft.Signatur&amp;quot;].ToString() + &amp;quot; / &amp;quot; + dataBandDokument[&amp;quot;Titel&amp;quot;].ToString();&amp;#xD;&amp;#xA;  }&amp;#xD;&amp;#xA;  else&amp;#xD;&amp;#xA;  {&amp;#xD;&amp;#xA;    textBox1.Text = dataBandDokument[&amp;quot;Aktivitaeten.Geschaeft$Geschaeft.Laufnummer&amp;quot;].ToString() + &amp;quot; / &amp;quot; + dataBandDokument[&amp;quot;Titel&amp;quot;].ToString();&amp;#xD;&amp;#xA;  }&amp;#xD;&amp;#xA;}&amp;#xD;&amp;#xA;else if (dataBandDokument[&amp;quot;Geschaeft$Geschaeft&amp;quot;] != null)&amp;#xD;&amp;#xA;{&amp;#xD;&amp;#xA;  if (dataBandDokument[&amp;quot;Geschaeft$Geschaeft.Signatur&amp;quot;] != null &amp;amp;&amp;amp; dataBandDokument[&amp;quot;Geschaeft$Geschaeft.Signatur&amp;quot;] != &amp;quot;&amp;quot;)&amp;#xD;&amp;#xA;  {&amp;#xD;&amp;#xA;    textBox1.Text = dataBandDokument[&amp;quot;Geschaeft$Geschaeft.Signatur&amp;quot;].ToString() + &amp;quot; / &amp;quot; + dataBandDokument[&amp;quot;Titel&amp;quot;].ToString();&amp;#xD;&amp;#xA;  }  &amp;#xD;&amp;#xA;  else&amp;#xD;&amp;#xA;  {&amp;#xD;&amp;#xA;    textBox1.Text = dataBandDokument[&amp;quot;Geschaeft$Geschaeft.Laufnummer&amp;quot;].ToString() + &amp;quot; / &amp;quot; + dataBandDokument[&amp;quot;Titel&amp;quot;].ToString();&amp;#xD;&amp;#xA;  }&amp;#xD;&amp;#xA;}&amp;#xD;&amp;#xA;else&amp;#xD;&amp;#xA;{&amp;#xD;&amp;#xA;  textBox1.Text = String.Empty;&amp;#xD;&amp;#xA;}&quot;&gt;&lt;DataBindings type=&quot;PerpetuumSoft.Reporting.DOM.ReportDataBindingCollection&quot; id=&quot;36&quot; /&gt;&lt;Font type=&quot;PerpetuumSoft.Framework.Drawing.FontDescriptor&quot; id=&quot;37&quot; FamilyName=&quot;Arial&quot; Size=&quot;6.75&quot; Italic=&quot;Off&quot; Bold=&quot;Off&quot; Strikeout=&quot;Off&quot; Underline=&quot;Off&quot; /&gt;&lt;/Item&gt;&lt;/Controls&gt;&lt;Aggregates type=&quot;PerpetuumSoft.Reporting.DOM.AggregateCollection&quot; id=&quot;38&quot; /&gt;&lt;DataBindings type=&quot;PerpetuumSoft.Reporting.DOM.ReportDataBindingCollection&quot; id=&quot;39&quot; /&gt;&lt;/Item&gt;&lt;/Controls&gt;&lt;Aggregates type=&quot;PerpetuumSoft.Reporting.DOM.AggregateCollection&quot; id=&quot;40&quot; /&gt;&lt;/Item&gt;&lt;/Controls&gt;&lt;DataBindings type=&quot;PerpetuumSoft.Reporting.DOM.ReportDataBindingCollection&quot; id=&quot;41&quot; /&gt;&lt;/Item&gt;&lt;/Pages&gt;&lt;DataSources type=&quot;PerpetuumSoft.Reporting.Data.DocumentDataSourceCollection&quot; id=&quot;42&quot; /&gt;&lt;/root&gt;"/>
    <w:docVar w:name="MetaTool_Table1_Selection" w:val="All"/>
    <w:docVar w:name="MetaTool_TypeDefinition" w:val="Dokument"/>
  </w:docVars>
  <w:rsids>
    <w:rsidRoot w:val="008D2659"/>
    <w:rsid w:val="000362D7"/>
    <w:rsid w:val="000571C7"/>
    <w:rsid w:val="0018445A"/>
    <w:rsid w:val="002129C3"/>
    <w:rsid w:val="002C02F9"/>
    <w:rsid w:val="0031173B"/>
    <w:rsid w:val="00482D00"/>
    <w:rsid w:val="004B6DAC"/>
    <w:rsid w:val="004C4BEE"/>
    <w:rsid w:val="004D4C96"/>
    <w:rsid w:val="005239CB"/>
    <w:rsid w:val="005A2EDD"/>
    <w:rsid w:val="005F1FB6"/>
    <w:rsid w:val="006E62B5"/>
    <w:rsid w:val="006F4996"/>
    <w:rsid w:val="00765C0D"/>
    <w:rsid w:val="007F5EFC"/>
    <w:rsid w:val="0085727D"/>
    <w:rsid w:val="008C5F94"/>
    <w:rsid w:val="008D2659"/>
    <w:rsid w:val="008D2E78"/>
    <w:rsid w:val="008F1FB0"/>
    <w:rsid w:val="009409CA"/>
    <w:rsid w:val="00947964"/>
    <w:rsid w:val="009620DB"/>
    <w:rsid w:val="009840DF"/>
    <w:rsid w:val="00A378FE"/>
    <w:rsid w:val="00A86A99"/>
    <w:rsid w:val="00B617F1"/>
    <w:rsid w:val="00BA6D3B"/>
    <w:rsid w:val="00CC2950"/>
    <w:rsid w:val="00DC74B7"/>
    <w:rsid w:val="00DF46E6"/>
    <w:rsid w:val="00E0071F"/>
    <w:rsid w:val="00E41837"/>
    <w:rsid w:val="00E63C39"/>
    <w:rsid w:val="00EB6597"/>
    <w:rsid w:val="00F27AE8"/>
    <w:rsid w:val="00F40C57"/>
    <w:rsid w:val="00F93A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FD8C317"/>
  <w15:docId w15:val="{BB51A86C-AF3F-4E09-B139-A2FED94B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spacing w:before="240" w:after="60"/>
      <w:outlineLvl w:val="0"/>
    </w:pPr>
    <w:rPr>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372CD"/>
    <w:rPr>
      <w:rFonts w:ascii="Tahoma" w:hAnsi="Tahoma" w:cs="Tahoma"/>
      <w:sz w:val="16"/>
      <w:szCs w:val="16"/>
    </w:rPr>
  </w:style>
  <w:style w:type="character" w:styleId="Hyperlink">
    <w:name w:val="Hyperlink"/>
    <w:basedOn w:val="Absatz-Standardschriftart"/>
    <w:rsid w:val="00EB6597"/>
    <w:rPr>
      <w:color w:val="0000FF" w:themeColor="hyperlink"/>
      <w:u w:val="single"/>
    </w:rPr>
  </w:style>
  <w:style w:type="character" w:styleId="Fett">
    <w:name w:val="Strong"/>
    <w:qFormat/>
    <w:rsid w:val="005A2EDD"/>
    <w:rPr>
      <w:b/>
      <w:bCs/>
    </w:rPr>
  </w:style>
  <w:style w:type="paragraph" w:customStyle="1" w:styleId="AbsenderText">
    <w:name w:val="Absender_Text"/>
    <w:basedOn w:val="Standard"/>
    <w:uiPriority w:val="1"/>
    <w:rsid w:val="005A2EDD"/>
    <w:rPr>
      <w:rFonts w:ascii="Segoe UI" w:hAnsi="Segoe UI" w:cs="Arial"/>
      <w:sz w:val="16"/>
      <w:szCs w:val="16"/>
      <w:lang w:eastAsia="de-CH"/>
    </w:rPr>
  </w:style>
  <w:style w:type="character" w:styleId="NichtaufgelsteErwhnung">
    <w:name w:val="Unresolved Mention"/>
    <w:basedOn w:val="Absatz-Standardschriftart"/>
    <w:uiPriority w:val="99"/>
    <w:semiHidden/>
    <w:unhideWhenUsed/>
    <w:rsid w:val="00CC2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gration.lu.ch/-/media/Migration/Dokumente/Formulare/form_3.pdf?rev=d0b3b44e349d4c1babcc994d6f3870b7" TargetMode="External"/><Relationship Id="rId3" Type="http://schemas.openxmlformats.org/officeDocument/2006/relationships/webSettings" Target="webSettings.xml"/><Relationship Id="rId7" Type="http://schemas.openxmlformats.org/officeDocument/2006/relationships/hyperlink" Target="https://my.lu.ch/ExternalServices/EgovHubServicePage/EgovHubServicePage.aspx?externalId=129&amp;ExternalExecutionId=2eb33b63-d07c-4aed-bd6d-b9521717f73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4136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OID</vt:lpstr>
    </vt:vector>
  </TitlesOfParts>
  <Company>Compaq</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OID</dc:title>
  <dc:creator>Thomas Inderkum</dc:creator>
  <cp:lastModifiedBy>Tamuk Claudia</cp:lastModifiedBy>
  <cp:revision>14</cp:revision>
  <cp:lastPrinted>2019-01-17T14:11:00Z</cp:lastPrinted>
  <dcterms:created xsi:type="dcterms:W3CDTF">2019-01-10T10:39:00Z</dcterms:created>
  <dcterms:modified xsi:type="dcterms:W3CDTF">2026-02-11T15:31:00Z</dcterms:modified>
</cp:coreProperties>
</file>